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bl>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3F01B6" w:rsidRPr="003F01B6" w:rsidTr="003F01B6">
        <w:trPr>
          <w:jc w:val="center"/>
        </w:trPr>
        <w:tc>
          <w:tcPr>
            <w:tcW w:w="3249" w:type="dxa"/>
          </w:tcPr>
          <w:p w:rsidR="003F01B6" w:rsidRPr="003F01B6" w:rsidRDefault="003F01B6" w:rsidP="003F01B6">
            <w:pPr>
              <w:bidi w:val="0"/>
              <w:rPr>
                <w:rFonts w:ascii="Arial (W1)" w:hAnsi="Arial (W1)"/>
                <w:b/>
                <w:bCs/>
                <w:noProof w:val="0"/>
                <w:sz w:val="28"/>
                <w:szCs w:val="28"/>
                <w:rtl/>
              </w:rPr>
            </w:pPr>
          </w:p>
          <w:sdt>
            <w:sdtPr>
              <w:rPr>
                <w:b/>
                <w:bCs/>
                <w:rtl/>
              </w:rPr>
              <w:alias w:val="1180"/>
              <w:tag w:val="1180"/>
              <w:id w:val="-803768281"/>
              <w:text w:multiLine="1"/>
            </w:sdtPr>
            <w:sdtEndPr/>
            <w:sdtContent>
              <w:p w:rsidR="003F01B6" w:rsidRPr="003F01B6" w:rsidRDefault="003F01B6" w:rsidP="003F01B6">
                <w:pPr>
                  <w:jc w:val="left"/>
                  <w:rPr>
                    <w:rFonts w:ascii="Arial (W1)" w:hAnsi="Arial (W1)"/>
                    <w:b/>
                    <w:bCs/>
                    <w:noProof w:val="0"/>
                    <w:sz w:val="28"/>
                    <w:szCs w:val="28"/>
                    <w:rtl/>
                  </w:rPr>
                </w:pPr>
                <w:r w:rsidRPr="003F01B6">
                  <w:rPr>
                    <w:b/>
                    <w:bCs/>
                    <w:rtl/>
                  </w:rPr>
                  <w:t>תובע</w:t>
                </w:r>
              </w:p>
            </w:sdtContent>
          </w:sdt>
        </w:tc>
        <w:tc>
          <w:tcPr>
            <w:tcW w:w="5571" w:type="dxa"/>
          </w:tcPr>
          <w:p w:rsidR="003F01B6" w:rsidRPr="003F01B6" w:rsidRDefault="003F01B6" w:rsidP="003F01B6">
            <w:pPr>
              <w:jc w:val="left"/>
              <w:rPr>
                <w:rFonts w:ascii="Arial (W1)" w:hAnsi="Arial (W1)"/>
                <w:b/>
                <w:bCs/>
                <w:noProof w:val="0"/>
                <w:sz w:val="28"/>
                <w:szCs w:val="28"/>
              </w:rPr>
            </w:pPr>
          </w:p>
          <w:p w:rsidR="003F01B6" w:rsidRPr="003F01B6" w:rsidRDefault="00EC7BAC" w:rsidP="00F654EF">
            <w:pPr>
              <w:jc w:val="left"/>
              <w:rPr>
                <w:rFonts w:ascii="Arial" w:hAnsi="Arial"/>
                <w:b/>
                <w:bCs/>
                <w:noProof w:val="0"/>
                <w:sz w:val="26"/>
                <w:szCs w:val="26"/>
                <w:rtl/>
              </w:rPr>
            </w:pPr>
            <w:sdt>
              <w:sdtPr>
                <w:rPr>
                  <w:b/>
                  <w:bCs/>
                  <w:noProof w:val="0"/>
                  <w:sz w:val="28"/>
                  <w:rtl/>
                </w:rPr>
                <w:alias w:val="1478"/>
                <w:tag w:val="1478"/>
                <w:id w:val="160126198"/>
                <w:text w:multiLine="1"/>
              </w:sdtPr>
              <w:sdtEndPr/>
              <w:sdtContent>
                <w:r w:rsidR="00F654EF">
                  <w:rPr>
                    <w:rFonts w:hint="cs"/>
                    <w:b/>
                    <w:bCs/>
                    <w:noProof w:val="0"/>
                    <w:sz w:val="28"/>
                    <w:rtl/>
                  </w:rPr>
                  <w:t>פלוני</w:t>
                </w:r>
              </w:sdtContent>
            </w:sdt>
            <w:r w:rsidR="003F01B6" w:rsidRPr="003F01B6">
              <w:rPr>
                <w:b/>
                <w:bCs/>
                <w:noProof w:val="0"/>
                <w:sz w:val="28"/>
                <w:rtl/>
              </w:rPr>
              <w:t xml:space="preserve"> </w:t>
            </w:r>
            <w:sdt>
              <w:sdtPr>
                <w:rPr>
                  <w:b/>
                  <w:bCs/>
                  <w:noProof w:val="0"/>
                  <w:sz w:val="28"/>
                  <w:rtl/>
                </w:rPr>
                <w:alias w:val="2315"/>
                <w:tag w:val="2315"/>
                <w:id w:val="815377524"/>
                <w:placeholder>
                  <w:docPart w:val="D229F3813EB441B6993138861AB1AB97"/>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r w:rsidR="003F01B6" w:rsidRPr="003F01B6">
              <w:rPr>
                <w:b/>
                <w:bCs/>
                <w:noProof w:val="0"/>
                <w:sz w:val="28"/>
                <w:rtl/>
              </w:rPr>
              <w:t xml:space="preserve"> </w:t>
            </w:r>
          </w:p>
          <w:p w:rsidR="003F01B6" w:rsidRPr="003F01B6" w:rsidRDefault="003F01B6" w:rsidP="003F01B6">
            <w:pPr>
              <w:jc w:val="left"/>
              <w:rPr>
                <w:rFonts w:ascii="Arial (W1)" w:hAnsi="Arial (W1)"/>
                <w:b/>
                <w:bCs/>
                <w:noProof w:val="0"/>
                <w:sz w:val="28"/>
                <w:szCs w:val="28"/>
                <w:rtl/>
              </w:rPr>
            </w:pPr>
            <w:r w:rsidRPr="003F01B6">
              <w:rPr>
                <w:rFonts w:ascii="Arial" w:hAnsi="Arial"/>
                <w:b/>
                <w:bCs/>
                <w:noProof w:val="0"/>
                <w:sz w:val="26"/>
                <w:szCs w:val="26"/>
                <w:rtl/>
              </w:rPr>
              <w:t>ע"י ב"כ עוה"ד</w:t>
            </w:r>
            <w:r w:rsidRPr="003F01B6">
              <w:rPr>
                <w:rFonts w:ascii="Arial (W1)" w:hAnsi="Arial (W1)"/>
                <w:b/>
                <w:bCs/>
                <w:noProof w:val="0"/>
                <w:sz w:val="28"/>
                <w:szCs w:val="28"/>
                <w:rtl/>
              </w:rPr>
              <w:t xml:space="preserve"> </w:t>
            </w:r>
            <w:r w:rsidRPr="003F01B6">
              <w:rPr>
                <w:rFonts w:ascii="Arial" w:hAnsi="Arial"/>
                <w:b/>
                <w:bCs/>
                <w:noProof w:val="0"/>
                <w:sz w:val="26"/>
                <w:szCs w:val="26"/>
                <w:rtl/>
              </w:rPr>
              <w:t>צחי שרף</w:t>
            </w:r>
          </w:p>
        </w:tc>
      </w:tr>
      <w:tr w:rsidR="003F01B6" w:rsidRPr="003F01B6" w:rsidTr="003F01B6">
        <w:trPr>
          <w:jc w:val="center"/>
        </w:trPr>
        <w:tc>
          <w:tcPr>
            <w:tcW w:w="8820" w:type="dxa"/>
            <w:gridSpan w:val="2"/>
          </w:tcPr>
          <w:p w:rsidR="003F01B6" w:rsidRPr="003F01B6" w:rsidRDefault="003F01B6" w:rsidP="003F01B6">
            <w:pPr>
              <w:jc w:val="left"/>
              <w:rPr>
                <w:rFonts w:ascii="Arial (W1)" w:hAnsi="Arial (W1)"/>
                <w:b/>
                <w:bCs/>
                <w:noProof w:val="0"/>
                <w:sz w:val="28"/>
                <w:szCs w:val="28"/>
              </w:rPr>
            </w:pPr>
          </w:p>
          <w:p w:rsidR="003F01B6" w:rsidRPr="003F01B6" w:rsidRDefault="003F01B6" w:rsidP="00D339FC">
            <w:pPr>
              <w:jc w:val="center"/>
              <w:rPr>
                <w:rFonts w:ascii="Arial (W1)" w:hAnsi="Arial (W1)"/>
                <w:b/>
                <w:bCs/>
                <w:noProof w:val="0"/>
                <w:sz w:val="28"/>
                <w:szCs w:val="28"/>
                <w:rtl/>
              </w:rPr>
            </w:pPr>
            <w:r w:rsidRPr="003F01B6">
              <w:rPr>
                <w:b/>
                <w:bCs/>
                <w:noProof w:val="0"/>
                <w:sz w:val="28"/>
                <w:rtl/>
              </w:rPr>
              <w:t>נגד</w:t>
            </w:r>
          </w:p>
        </w:tc>
      </w:tr>
      <w:tr w:rsidR="003F01B6" w:rsidRPr="003F01B6" w:rsidTr="003F01B6">
        <w:trPr>
          <w:jc w:val="center"/>
        </w:trPr>
        <w:tc>
          <w:tcPr>
            <w:tcW w:w="3249" w:type="dxa"/>
          </w:tcPr>
          <w:p w:rsidR="003F01B6" w:rsidRPr="003F01B6" w:rsidRDefault="003F01B6" w:rsidP="003F01B6">
            <w:pPr>
              <w:jc w:val="left"/>
              <w:rPr>
                <w:rFonts w:ascii="Arial (W1)" w:hAnsi="Arial (W1)"/>
                <w:b/>
                <w:bCs/>
                <w:noProof w:val="0"/>
                <w:sz w:val="28"/>
                <w:szCs w:val="28"/>
              </w:rPr>
            </w:pPr>
          </w:p>
          <w:p w:rsidR="003F01B6" w:rsidRPr="003F01B6" w:rsidRDefault="00EC7BAC" w:rsidP="003F01B6">
            <w:pPr>
              <w:jc w:val="left"/>
              <w:rPr>
                <w:rFonts w:ascii="Arial (W1)" w:hAnsi="Arial (W1)"/>
                <w:b/>
                <w:bCs/>
                <w:noProof w:val="0"/>
                <w:sz w:val="28"/>
                <w:szCs w:val="28"/>
                <w:rtl/>
              </w:rPr>
            </w:pPr>
            <w:sdt>
              <w:sdtPr>
                <w:rPr>
                  <w:b/>
                  <w:bCs/>
                  <w:rtl/>
                </w:rPr>
                <w:alias w:val="1184"/>
                <w:tag w:val="1184"/>
                <w:id w:val="-910234160"/>
                <w:text w:multiLine="1"/>
              </w:sdtPr>
              <w:sdtEndPr/>
              <w:sdtContent>
                <w:r w:rsidR="003F01B6" w:rsidRPr="003F01B6">
                  <w:rPr>
                    <w:b/>
                    <w:bCs/>
                    <w:rtl/>
                  </w:rPr>
                  <w:t>נתבעים</w:t>
                </w:r>
              </w:sdtContent>
            </w:sdt>
          </w:p>
        </w:tc>
        <w:tc>
          <w:tcPr>
            <w:tcW w:w="5571" w:type="dxa"/>
          </w:tcPr>
          <w:p w:rsidR="003F01B6" w:rsidRPr="003F01B6" w:rsidRDefault="003F01B6" w:rsidP="003F01B6">
            <w:pPr>
              <w:jc w:val="left"/>
              <w:rPr>
                <w:rFonts w:ascii="Arial (W1)" w:hAnsi="Arial (W1)"/>
                <w:b/>
                <w:bCs/>
                <w:noProof w:val="0"/>
                <w:sz w:val="28"/>
                <w:szCs w:val="28"/>
              </w:rPr>
            </w:pPr>
          </w:p>
          <w:p w:rsidR="003F01B6" w:rsidRPr="003F01B6" w:rsidRDefault="00EC7BAC" w:rsidP="00F654EF">
            <w:pPr>
              <w:jc w:val="left"/>
              <w:rPr>
                <w:rFonts w:ascii="Arial" w:hAnsi="Arial"/>
                <w:b/>
                <w:bCs/>
                <w:noProof w:val="0"/>
                <w:sz w:val="26"/>
                <w:szCs w:val="26"/>
                <w:rtl/>
              </w:rPr>
            </w:pPr>
            <w:sdt>
              <w:sdtPr>
                <w:rPr>
                  <w:rtl/>
                </w:rPr>
                <w:alias w:val="1571"/>
                <w:tag w:val="1571"/>
                <w:id w:val="-1361515445"/>
                <w:text w:multiLine="1"/>
              </w:sdtPr>
              <w:sdtEndPr/>
              <w:sdtContent>
                <w:r w:rsidR="003F01B6" w:rsidRPr="003F01B6">
                  <w:rPr>
                    <w:rtl/>
                  </w:rPr>
                  <w:t>1</w:t>
                </w:r>
              </w:sdtContent>
            </w:sdt>
            <w:r w:rsidR="003F01B6" w:rsidRPr="003F01B6">
              <w:rPr>
                <w:b/>
                <w:bCs/>
                <w:noProof w:val="0"/>
                <w:sz w:val="28"/>
                <w:rtl/>
              </w:rPr>
              <w:t>.</w:t>
            </w:r>
            <w:sdt>
              <w:sdtPr>
                <w:rPr>
                  <w:b/>
                  <w:bCs/>
                  <w:noProof w:val="0"/>
                  <w:sz w:val="28"/>
                  <w:rtl/>
                </w:rPr>
                <w:alias w:val="1486"/>
                <w:tag w:val="1486"/>
                <w:id w:val="1487590763"/>
                <w:text w:multiLine="1"/>
              </w:sdtPr>
              <w:sdtEndPr/>
              <w:sdtContent>
                <w:r w:rsidR="00F654EF">
                  <w:rPr>
                    <w:rFonts w:hint="cs"/>
                    <w:b/>
                    <w:bCs/>
                    <w:noProof w:val="0"/>
                    <w:sz w:val="28"/>
                    <w:rtl/>
                  </w:rPr>
                  <w:t>אלמוני</w:t>
                </w:r>
              </w:sdtContent>
            </w:sdt>
            <w:r w:rsidR="003F01B6" w:rsidRPr="003F01B6">
              <w:rPr>
                <w:b/>
                <w:bCs/>
                <w:noProof w:val="0"/>
                <w:sz w:val="28"/>
                <w:rtl/>
              </w:rPr>
              <w:t xml:space="preserve"> </w:t>
            </w:r>
            <w:sdt>
              <w:sdtPr>
                <w:rPr>
                  <w:b/>
                  <w:bCs/>
                  <w:noProof w:val="0"/>
                  <w:sz w:val="28"/>
                  <w:rtl/>
                </w:rPr>
                <w:alias w:val="2317"/>
                <w:tag w:val="2317"/>
                <w:id w:val="1321767079"/>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3F01B6" w:rsidP="003F01B6">
            <w:pPr>
              <w:jc w:val="left"/>
              <w:rPr>
                <w:rFonts w:ascii="Arial (W1)" w:hAnsi="Arial (W1)"/>
                <w:b/>
                <w:bCs/>
                <w:noProof w:val="0"/>
                <w:sz w:val="28"/>
                <w:szCs w:val="28"/>
                <w:rtl/>
              </w:rPr>
            </w:pPr>
            <w:r w:rsidRPr="003F01B6">
              <w:rPr>
                <w:rFonts w:ascii="Arial" w:hAnsi="Arial"/>
                <w:b/>
                <w:bCs/>
                <w:noProof w:val="0"/>
                <w:sz w:val="26"/>
                <w:szCs w:val="26"/>
                <w:rtl/>
              </w:rPr>
              <w:t>ע"י ב"כ עוה"ד</w:t>
            </w:r>
            <w:r w:rsidRPr="003F01B6">
              <w:rPr>
                <w:rFonts w:ascii="Arial (W1)" w:hAnsi="Arial (W1)"/>
                <w:b/>
                <w:bCs/>
                <w:noProof w:val="0"/>
                <w:sz w:val="28"/>
                <w:szCs w:val="28"/>
                <w:rtl/>
              </w:rPr>
              <w:t xml:space="preserve"> </w:t>
            </w:r>
            <w:r w:rsidRPr="003F01B6">
              <w:rPr>
                <w:rFonts w:ascii="Arial" w:hAnsi="Arial"/>
                <w:b/>
                <w:bCs/>
                <w:noProof w:val="0"/>
                <w:sz w:val="26"/>
                <w:szCs w:val="26"/>
                <w:rtl/>
              </w:rPr>
              <w:t>שרון שגיא</w:t>
            </w:r>
          </w:p>
          <w:p w:rsidR="003F01B6" w:rsidRPr="003F01B6" w:rsidRDefault="00EC7BAC" w:rsidP="00F654EF">
            <w:pPr>
              <w:jc w:val="left"/>
            </w:pPr>
            <w:sdt>
              <w:sdtPr>
                <w:rPr>
                  <w:rtl/>
                </w:rPr>
                <w:alias w:val="1571"/>
                <w:tag w:val="1571"/>
                <w:id w:val="698592655"/>
                <w:text w:multiLine="1"/>
              </w:sdtPr>
              <w:sdtEndPr/>
              <w:sdtContent>
                <w:r w:rsidR="003F01B6" w:rsidRPr="003F01B6">
                  <w:rPr>
                    <w:rtl/>
                  </w:rPr>
                  <w:t>2</w:t>
                </w:r>
              </w:sdtContent>
            </w:sdt>
            <w:r w:rsidR="003F01B6" w:rsidRPr="003F01B6">
              <w:rPr>
                <w:b/>
                <w:bCs/>
                <w:noProof w:val="0"/>
                <w:sz w:val="28"/>
                <w:rtl/>
              </w:rPr>
              <w:t>.</w:t>
            </w:r>
            <w:sdt>
              <w:sdtPr>
                <w:rPr>
                  <w:b/>
                  <w:bCs/>
                  <w:noProof w:val="0"/>
                  <w:sz w:val="28"/>
                  <w:rtl/>
                </w:rPr>
                <w:alias w:val="1486"/>
                <w:tag w:val="1486"/>
                <w:id w:val="753559797"/>
                <w:text w:multiLine="1"/>
              </w:sdtPr>
              <w:sdtEndPr/>
              <w:sdtContent>
                <w:r w:rsidR="00F654EF">
                  <w:rPr>
                    <w:rFonts w:hint="cs"/>
                    <w:b/>
                    <w:bCs/>
                    <w:noProof w:val="0"/>
                    <w:sz w:val="28"/>
                    <w:rtl/>
                  </w:rPr>
                  <w:t>א'</w:t>
                </w:r>
              </w:sdtContent>
            </w:sdt>
            <w:r w:rsidR="003F01B6" w:rsidRPr="003F01B6">
              <w:rPr>
                <w:b/>
                <w:bCs/>
                <w:noProof w:val="0"/>
                <w:sz w:val="28"/>
                <w:rtl/>
              </w:rPr>
              <w:t xml:space="preserve"> </w:t>
            </w:r>
            <w:sdt>
              <w:sdtPr>
                <w:rPr>
                  <w:b/>
                  <w:bCs/>
                  <w:noProof w:val="0"/>
                  <w:sz w:val="28"/>
                  <w:rtl/>
                </w:rPr>
                <w:alias w:val="2317"/>
                <w:tag w:val="2317"/>
                <w:id w:val="-929044307"/>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3F01B6" w:rsidP="003F01B6">
            <w:pPr>
              <w:jc w:val="left"/>
              <w:rPr>
                <w:rFonts w:ascii="Arial" w:hAnsi="Arial"/>
                <w:b/>
                <w:bCs/>
                <w:noProof w:val="0"/>
                <w:sz w:val="26"/>
                <w:szCs w:val="26"/>
                <w:rtl/>
              </w:rPr>
            </w:pPr>
            <w:r w:rsidRPr="003F01B6">
              <w:rPr>
                <w:rFonts w:ascii="Arial" w:hAnsi="Arial"/>
                <w:b/>
                <w:bCs/>
                <w:noProof w:val="0"/>
                <w:sz w:val="26"/>
                <w:szCs w:val="26"/>
                <w:rtl/>
              </w:rPr>
              <w:t>ע"י ב"כ עוה"ד</w:t>
            </w:r>
            <w:r w:rsidRPr="003F01B6">
              <w:rPr>
                <w:rFonts w:ascii="Arial (W1)" w:hAnsi="Arial (W1)"/>
                <w:b/>
                <w:bCs/>
                <w:noProof w:val="0"/>
                <w:sz w:val="28"/>
                <w:szCs w:val="28"/>
                <w:rtl/>
              </w:rPr>
              <w:t xml:space="preserve"> </w:t>
            </w:r>
            <w:r w:rsidRPr="003F01B6">
              <w:rPr>
                <w:rFonts w:ascii="Arial" w:hAnsi="Arial"/>
                <w:b/>
                <w:bCs/>
                <w:noProof w:val="0"/>
                <w:sz w:val="26"/>
                <w:szCs w:val="26"/>
                <w:rtl/>
              </w:rPr>
              <w:t>שרגא בודה</w:t>
            </w:r>
          </w:p>
          <w:p w:rsidR="003F01B6" w:rsidRPr="003F01B6" w:rsidRDefault="00EC7BAC" w:rsidP="00F654EF">
            <w:pPr>
              <w:jc w:val="left"/>
              <w:rPr>
                <w:rFonts w:ascii="Arial" w:hAnsi="Arial"/>
                <w:b/>
                <w:bCs/>
                <w:noProof w:val="0"/>
                <w:sz w:val="26"/>
                <w:szCs w:val="26"/>
                <w:highlight w:val="yellow"/>
              </w:rPr>
            </w:pPr>
            <w:sdt>
              <w:sdtPr>
                <w:rPr>
                  <w:rtl/>
                </w:rPr>
                <w:alias w:val="1571"/>
                <w:tag w:val="1571"/>
                <w:id w:val="-1854863194"/>
                <w:text w:multiLine="1"/>
              </w:sdtPr>
              <w:sdtEndPr/>
              <w:sdtContent>
                <w:r w:rsidR="003F01B6" w:rsidRPr="003F01B6">
                  <w:rPr>
                    <w:rtl/>
                  </w:rPr>
                  <w:t>3</w:t>
                </w:r>
              </w:sdtContent>
            </w:sdt>
            <w:r w:rsidR="003F01B6" w:rsidRPr="003F01B6">
              <w:rPr>
                <w:b/>
                <w:bCs/>
                <w:noProof w:val="0"/>
                <w:sz w:val="28"/>
                <w:rtl/>
              </w:rPr>
              <w:t>.</w:t>
            </w:r>
            <w:sdt>
              <w:sdtPr>
                <w:rPr>
                  <w:b/>
                  <w:bCs/>
                  <w:noProof w:val="0"/>
                  <w:sz w:val="28"/>
                  <w:rtl/>
                </w:rPr>
                <w:alias w:val="1486"/>
                <w:tag w:val="1486"/>
                <w:id w:val="542027027"/>
                <w:text w:multiLine="1"/>
              </w:sdtPr>
              <w:sdtEndPr/>
              <w:sdtContent>
                <w:r w:rsidR="00F654EF">
                  <w:rPr>
                    <w:rFonts w:hint="cs"/>
                    <w:b/>
                    <w:bCs/>
                    <w:noProof w:val="0"/>
                    <w:sz w:val="28"/>
                    <w:rtl/>
                  </w:rPr>
                  <w:t>המנוחה ב'</w:t>
                </w:r>
              </w:sdtContent>
            </w:sdt>
            <w:r w:rsidR="003F01B6" w:rsidRPr="003F01B6">
              <w:rPr>
                <w:b/>
                <w:bCs/>
                <w:noProof w:val="0"/>
                <w:sz w:val="28"/>
                <w:rtl/>
              </w:rPr>
              <w:t xml:space="preserve"> </w:t>
            </w:r>
            <w:sdt>
              <w:sdtPr>
                <w:rPr>
                  <w:b/>
                  <w:bCs/>
                  <w:noProof w:val="0"/>
                  <w:sz w:val="28"/>
                  <w:rtl/>
                </w:rPr>
                <w:alias w:val="2317"/>
                <w:tag w:val="2317"/>
                <w:id w:val="44112019"/>
                <w:placeholder>
                  <w:docPart w:val="E1E5205F41BF4DA0ABED4F1763326868"/>
                </w:placeholder>
                <w:text w:multiLine="1"/>
              </w:sdtPr>
              <w:sdtEndPr/>
              <w:sdtContent>
                <w:r w:rsidR="003F01B6" w:rsidRPr="003F01B6">
                  <w:rPr>
                    <w:b/>
                    <w:bCs/>
                    <w:noProof w:val="0"/>
                    <w:sz w:val="28"/>
                    <w:rtl/>
                  </w:rPr>
                  <w:t>שנשאה בחייה 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EC7BAC" w:rsidP="00F654EF">
            <w:pPr>
              <w:jc w:val="left"/>
              <w:rPr>
                <w:rFonts w:ascii="Arial (W1)" w:hAnsi="Arial (W1)"/>
                <w:b/>
                <w:bCs/>
                <w:noProof w:val="0"/>
                <w:sz w:val="28"/>
                <w:szCs w:val="28"/>
                <w:rtl/>
              </w:rPr>
            </w:pPr>
            <w:sdt>
              <w:sdtPr>
                <w:rPr>
                  <w:rtl/>
                </w:rPr>
                <w:alias w:val="1571"/>
                <w:tag w:val="1571"/>
                <w:id w:val="1638452845"/>
                <w:text w:multiLine="1"/>
              </w:sdtPr>
              <w:sdtEndPr/>
              <w:sdtContent>
                <w:r w:rsidR="003F01B6" w:rsidRPr="003F01B6">
                  <w:rPr>
                    <w:rtl/>
                  </w:rPr>
                  <w:t>4</w:t>
                </w:r>
              </w:sdtContent>
            </w:sdt>
            <w:r w:rsidR="003F01B6" w:rsidRPr="003F01B6">
              <w:rPr>
                <w:b/>
                <w:bCs/>
                <w:noProof w:val="0"/>
                <w:sz w:val="28"/>
                <w:rtl/>
              </w:rPr>
              <w:t>.</w:t>
            </w:r>
            <w:sdt>
              <w:sdtPr>
                <w:rPr>
                  <w:b/>
                  <w:bCs/>
                  <w:noProof w:val="0"/>
                  <w:sz w:val="28"/>
                  <w:rtl/>
                </w:rPr>
                <w:alias w:val="1486"/>
                <w:tag w:val="1486"/>
                <w:id w:val="1417361873"/>
                <w:text w:multiLine="1"/>
              </w:sdtPr>
              <w:sdtEndPr/>
              <w:sdtContent>
                <w:r w:rsidR="00F654EF">
                  <w:rPr>
                    <w:rFonts w:hint="cs"/>
                    <w:b/>
                    <w:bCs/>
                    <w:noProof w:val="0"/>
                    <w:sz w:val="28"/>
                    <w:rtl/>
                  </w:rPr>
                  <w:t>ג'</w:t>
                </w:r>
              </w:sdtContent>
            </w:sdt>
            <w:r w:rsidR="003F01B6" w:rsidRPr="003F01B6">
              <w:rPr>
                <w:b/>
                <w:bCs/>
                <w:noProof w:val="0"/>
                <w:sz w:val="28"/>
                <w:rtl/>
              </w:rPr>
              <w:t xml:space="preserve"> </w:t>
            </w:r>
            <w:sdt>
              <w:sdtPr>
                <w:rPr>
                  <w:b/>
                  <w:bCs/>
                  <w:noProof w:val="0"/>
                  <w:sz w:val="28"/>
                  <w:rtl/>
                </w:rPr>
                <w:alias w:val="2317"/>
                <w:tag w:val="2317"/>
                <w:id w:val="1800718955"/>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EC7BAC" w:rsidP="00F654EF">
            <w:pPr>
              <w:jc w:val="left"/>
              <w:rPr>
                <w:rFonts w:ascii="Arial (W1)" w:hAnsi="Arial (W1)"/>
                <w:b/>
                <w:bCs/>
                <w:noProof w:val="0"/>
                <w:sz w:val="28"/>
                <w:szCs w:val="28"/>
              </w:rPr>
            </w:pPr>
            <w:sdt>
              <w:sdtPr>
                <w:rPr>
                  <w:rtl/>
                </w:rPr>
                <w:alias w:val="1571"/>
                <w:tag w:val="1571"/>
                <w:id w:val="-1479221150"/>
                <w:text w:multiLine="1"/>
              </w:sdtPr>
              <w:sdtEndPr/>
              <w:sdtContent>
                <w:r w:rsidR="003F01B6" w:rsidRPr="003F01B6">
                  <w:rPr>
                    <w:rtl/>
                  </w:rPr>
                  <w:t>5</w:t>
                </w:r>
              </w:sdtContent>
            </w:sdt>
            <w:r w:rsidR="003F01B6" w:rsidRPr="003F01B6">
              <w:rPr>
                <w:b/>
                <w:bCs/>
                <w:noProof w:val="0"/>
                <w:sz w:val="28"/>
                <w:rtl/>
              </w:rPr>
              <w:t>.</w:t>
            </w:r>
            <w:sdt>
              <w:sdtPr>
                <w:rPr>
                  <w:b/>
                  <w:bCs/>
                  <w:noProof w:val="0"/>
                  <w:sz w:val="28"/>
                  <w:rtl/>
                </w:rPr>
                <w:alias w:val="1486"/>
                <w:tag w:val="1486"/>
                <w:id w:val="503796582"/>
                <w:text w:multiLine="1"/>
              </w:sdtPr>
              <w:sdtEndPr/>
              <w:sdtContent>
                <w:r w:rsidR="00F654EF">
                  <w:rPr>
                    <w:rFonts w:hint="cs"/>
                    <w:b/>
                    <w:bCs/>
                    <w:noProof w:val="0"/>
                    <w:sz w:val="28"/>
                    <w:rtl/>
                  </w:rPr>
                  <w:t>ד'</w:t>
                </w:r>
              </w:sdtContent>
            </w:sdt>
            <w:r w:rsidR="003F01B6" w:rsidRPr="003F01B6">
              <w:rPr>
                <w:b/>
                <w:bCs/>
                <w:noProof w:val="0"/>
                <w:sz w:val="28"/>
                <w:rtl/>
              </w:rPr>
              <w:t xml:space="preserve"> </w:t>
            </w:r>
            <w:sdt>
              <w:sdtPr>
                <w:rPr>
                  <w:b/>
                  <w:bCs/>
                  <w:noProof w:val="0"/>
                  <w:sz w:val="28"/>
                  <w:rtl/>
                </w:rPr>
                <w:alias w:val="2317"/>
                <w:tag w:val="2317"/>
                <w:id w:val="-1250726620"/>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r w:rsidR="003F01B6" w:rsidRPr="003F01B6">
              <w:rPr>
                <w:rtl/>
              </w:rPr>
              <w:t xml:space="preserve"> </w:t>
            </w:r>
          </w:p>
          <w:p w:rsidR="003F01B6" w:rsidRPr="003F01B6" w:rsidRDefault="00EC7BAC" w:rsidP="00F654EF">
            <w:pPr>
              <w:jc w:val="left"/>
              <w:rPr>
                <w:rFonts w:ascii="Arial (W1)" w:hAnsi="Arial (W1)"/>
                <w:b/>
                <w:bCs/>
                <w:noProof w:val="0"/>
                <w:sz w:val="28"/>
                <w:szCs w:val="28"/>
              </w:rPr>
            </w:pPr>
            <w:sdt>
              <w:sdtPr>
                <w:rPr>
                  <w:rtl/>
                </w:rPr>
                <w:alias w:val="1571"/>
                <w:tag w:val="1571"/>
                <w:id w:val="-128713730"/>
                <w:text w:multiLine="1"/>
              </w:sdtPr>
              <w:sdtEndPr/>
              <w:sdtContent>
                <w:r w:rsidR="003F01B6" w:rsidRPr="003F01B6">
                  <w:rPr>
                    <w:rtl/>
                  </w:rPr>
                  <w:t>6</w:t>
                </w:r>
              </w:sdtContent>
            </w:sdt>
            <w:r w:rsidR="003F01B6" w:rsidRPr="003F01B6">
              <w:rPr>
                <w:b/>
                <w:bCs/>
                <w:noProof w:val="0"/>
                <w:sz w:val="28"/>
                <w:rtl/>
              </w:rPr>
              <w:t>.</w:t>
            </w:r>
            <w:sdt>
              <w:sdtPr>
                <w:rPr>
                  <w:b/>
                  <w:bCs/>
                  <w:noProof w:val="0"/>
                  <w:sz w:val="28"/>
                  <w:rtl/>
                </w:rPr>
                <w:alias w:val="1486"/>
                <w:tag w:val="1486"/>
                <w:id w:val="-416558087"/>
                <w:text w:multiLine="1"/>
              </w:sdtPr>
              <w:sdtEndPr/>
              <w:sdtContent>
                <w:r w:rsidR="00F654EF">
                  <w:rPr>
                    <w:rFonts w:hint="cs"/>
                    <w:b/>
                    <w:bCs/>
                    <w:noProof w:val="0"/>
                    <w:sz w:val="28"/>
                    <w:rtl/>
                  </w:rPr>
                  <w:t>ו'</w:t>
                </w:r>
              </w:sdtContent>
            </w:sdt>
            <w:r w:rsidR="003F01B6" w:rsidRPr="003F01B6">
              <w:rPr>
                <w:b/>
                <w:bCs/>
                <w:noProof w:val="0"/>
                <w:sz w:val="28"/>
                <w:rtl/>
              </w:rPr>
              <w:t xml:space="preserve"> </w:t>
            </w:r>
            <w:sdt>
              <w:sdtPr>
                <w:rPr>
                  <w:b/>
                  <w:bCs/>
                  <w:noProof w:val="0"/>
                  <w:sz w:val="28"/>
                  <w:rtl/>
                </w:rPr>
                <w:alias w:val="2317"/>
                <w:tag w:val="2317"/>
                <w:id w:val="1761415013"/>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r w:rsidR="003F01B6" w:rsidRPr="003F01B6">
              <w:rPr>
                <w:rtl/>
              </w:rPr>
              <w:t xml:space="preserve"> </w:t>
            </w:r>
          </w:p>
          <w:p w:rsidR="003F01B6" w:rsidRPr="003F01B6" w:rsidRDefault="00EC7BAC" w:rsidP="00F654EF">
            <w:pPr>
              <w:jc w:val="left"/>
              <w:rPr>
                <w:rFonts w:ascii="Arial (W1)" w:hAnsi="Arial (W1)"/>
                <w:b/>
                <w:bCs/>
                <w:noProof w:val="0"/>
                <w:sz w:val="28"/>
                <w:szCs w:val="28"/>
              </w:rPr>
            </w:pPr>
            <w:sdt>
              <w:sdtPr>
                <w:rPr>
                  <w:rtl/>
                </w:rPr>
                <w:alias w:val="1571"/>
                <w:tag w:val="1571"/>
                <w:id w:val="2011711600"/>
                <w:text w:multiLine="1"/>
              </w:sdtPr>
              <w:sdtEndPr/>
              <w:sdtContent>
                <w:r w:rsidR="003F01B6" w:rsidRPr="003F01B6">
                  <w:rPr>
                    <w:rtl/>
                  </w:rPr>
                  <w:t>7</w:t>
                </w:r>
              </w:sdtContent>
            </w:sdt>
            <w:r w:rsidR="003F01B6" w:rsidRPr="003F01B6">
              <w:rPr>
                <w:b/>
                <w:bCs/>
                <w:noProof w:val="0"/>
                <w:sz w:val="28"/>
                <w:rtl/>
              </w:rPr>
              <w:t>.</w:t>
            </w:r>
            <w:sdt>
              <w:sdtPr>
                <w:rPr>
                  <w:b/>
                  <w:bCs/>
                  <w:noProof w:val="0"/>
                  <w:sz w:val="28"/>
                  <w:rtl/>
                </w:rPr>
                <w:alias w:val="1486"/>
                <w:tag w:val="1486"/>
                <w:id w:val="-1132322829"/>
                <w:text w:multiLine="1"/>
              </w:sdtPr>
              <w:sdtEndPr/>
              <w:sdtContent>
                <w:r w:rsidR="00F654EF">
                  <w:rPr>
                    <w:rFonts w:hint="cs"/>
                    <w:b/>
                    <w:bCs/>
                    <w:noProof w:val="0"/>
                    <w:sz w:val="28"/>
                    <w:rtl/>
                  </w:rPr>
                  <w:t xml:space="preserve">ז' </w:t>
                </w:r>
              </w:sdtContent>
            </w:sdt>
            <w:r w:rsidR="003F01B6" w:rsidRPr="003F01B6">
              <w:rPr>
                <w:b/>
                <w:bCs/>
                <w:noProof w:val="0"/>
                <w:sz w:val="28"/>
                <w:rtl/>
              </w:rPr>
              <w:t xml:space="preserve"> </w:t>
            </w:r>
            <w:sdt>
              <w:sdtPr>
                <w:rPr>
                  <w:b/>
                  <w:bCs/>
                  <w:noProof w:val="0"/>
                  <w:sz w:val="28"/>
                  <w:rtl/>
                </w:rPr>
                <w:alias w:val="2317"/>
                <w:tag w:val="2317"/>
                <w:id w:val="-197237090"/>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r w:rsidR="003F01B6" w:rsidRPr="003F01B6">
              <w:rPr>
                <w:rtl/>
              </w:rPr>
              <w:t xml:space="preserve"> </w:t>
            </w:r>
          </w:p>
          <w:p w:rsidR="003F01B6" w:rsidRPr="003F01B6" w:rsidRDefault="00EC7BAC" w:rsidP="00F654EF">
            <w:pPr>
              <w:jc w:val="left"/>
              <w:rPr>
                <w:rFonts w:ascii="Arial (W1)" w:hAnsi="Arial (W1)"/>
                <w:b/>
                <w:bCs/>
                <w:noProof w:val="0"/>
                <w:sz w:val="28"/>
                <w:szCs w:val="28"/>
              </w:rPr>
            </w:pPr>
            <w:sdt>
              <w:sdtPr>
                <w:rPr>
                  <w:rtl/>
                </w:rPr>
                <w:alias w:val="1571"/>
                <w:tag w:val="1571"/>
                <w:id w:val="1558966120"/>
                <w:text w:multiLine="1"/>
              </w:sdtPr>
              <w:sdtEndPr/>
              <w:sdtContent>
                <w:r w:rsidR="003F01B6" w:rsidRPr="003F01B6">
                  <w:rPr>
                    <w:rtl/>
                  </w:rPr>
                  <w:t>8</w:t>
                </w:r>
              </w:sdtContent>
            </w:sdt>
            <w:r w:rsidR="003F01B6" w:rsidRPr="003F01B6">
              <w:rPr>
                <w:b/>
                <w:bCs/>
                <w:noProof w:val="0"/>
                <w:sz w:val="28"/>
                <w:rtl/>
              </w:rPr>
              <w:t>.</w:t>
            </w:r>
            <w:sdt>
              <w:sdtPr>
                <w:rPr>
                  <w:b/>
                  <w:bCs/>
                  <w:noProof w:val="0"/>
                  <w:sz w:val="28"/>
                  <w:rtl/>
                </w:rPr>
                <w:alias w:val="1486"/>
                <w:tag w:val="1486"/>
                <w:id w:val="186412796"/>
                <w:text w:multiLine="1"/>
              </w:sdtPr>
              <w:sdtEndPr/>
              <w:sdtContent>
                <w:r w:rsidR="00F654EF">
                  <w:rPr>
                    <w:rFonts w:hint="cs"/>
                    <w:b/>
                    <w:bCs/>
                    <w:noProof w:val="0"/>
                    <w:sz w:val="28"/>
                    <w:rtl/>
                  </w:rPr>
                  <w:t>ח'</w:t>
                </w:r>
              </w:sdtContent>
            </w:sdt>
            <w:r w:rsidR="003F01B6" w:rsidRPr="003F01B6">
              <w:rPr>
                <w:b/>
                <w:bCs/>
                <w:noProof w:val="0"/>
                <w:sz w:val="28"/>
                <w:rtl/>
              </w:rPr>
              <w:t xml:space="preserve"> </w:t>
            </w:r>
            <w:sdt>
              <w:sdtPr>
                <w:rPr>
                  <w:b/>
                  <w:bCs/>
                  <w:noProof w:val="0"/>
                  <w:sz w:val="28"/>
                  <w:rtl/>
                </w:rPr>
                <w:alias w:val="2317"/>
                <w:tag w:val="2317"/>
                <w:id w:val="508575734"/>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EC7BAC" w:rsidP="00F654EF">
            <w:pPr>
              <w:jc w:val="left"/>
              <w:rPr>
                <w:rFonts w:ascii="Arial (W1)" w:hAnsi="Arial (W1)"/>
                <w:b/>
                <w:bCs/>
                <w:noProof w:val="0"/>
                <w:sz w:val="28"/>
                <w:szCs w:val="28"/>
              </w:rPr>
            </w:pPr>
            <w:sdt>
              <w:sdtPr>
                <w:rPr>
                  <w:rtl/>
                </w:rPr>
                <w:alias w:val="1571"/>
                <w:tag w:val="1571"/>
                <w:id w:val="1182166082"/>
                <w:text w:multiLine="1"/>
              </w:sdtPr>
              <w:sdtEndPr/>
              <w:sdtContent>
                <w:r w:rsidR="003F01B6" w:rsidRPr="003F01B6">
                  <w:rPr>
                    <w:rtl/>
                  </w:rPr>
                  <w:t>9</w:t>
                </w:r>
              </w:sdtContent>
            </w:sdt>
            <w:r w:rsidR="003F01B6" w:rsidRPr="003F01B6">
              <w:rPr>
                <w:b/>
                <w:bCs/>
                <w:noProof w:val="0"/>
                <w:sz w:val="28"/>
                <w:rtl/>
              </w:rPr>
              <w:t>.</w:t>
            </w:r>
            <w:sdt>
              <w:sdtPr>
                <w:rPr>
                  <w:b/>
                  <w:bCs/>
                  <w:noProof w:val="0"/>
                  <w:sz w:val="28"/>
                  <w:rtl/>
                </w:rPr>
                <w:alias w:val="1486"/>
                <w:tag w:val="1486"/>
                <w:id w:val="-1503813555"/>
                <w:text w:multiLine="1"/>
              </w:sdtPr>
              <w:sdtEndPr/>
              <w:sdtContent>
                <w:r w:rsidR="00F654EF">
                  <w:rPr>
                    <w:rFonts w:hint="cs"/>
                    <w:b/>
                    <w:bCs/>
                    <w:noProof w:val="0"/>
                    <w:sz w:val="28"/>
                    <w:rtl/>
                  </w:rPr>
                  <w:t>ט'</w:t>
                </w:r>
              </w:sdtContent>
            </w:sdt>
            <w:r w:rsidR="003F01B6" w:rsidRPr="003F01B6">
              <w:rPr>
                <w:b/>
                <w:bCs/>
                <w:noProof w:val="0"/>
                <w:sz w:val="28"/>
                <w:rtl/>
              </w:rPr>
              <w:t xml:space="preserve"> </w:t>
            </w:r>
            <w:sdt>
              <w:sdtPr>
                <w:rPr>
                  <w:b/>
                  <w:bCs/>
                  <w:noProof w:val="0"/>
                  <w:sz w:val="28"/>
                  <w:rtl/>
                </w:rPr>
                <w:alias w:val="2317"/>
                <w:tag w:val="2317"/>
                <w:id w:val="369583691"/>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EC7BAC" w:rsidP="00F654EF">
            <w:pPr>
              <w:jc w:val="left"/>
              <w:rPr>
                <w:rFonts w:ascii="Arial (W1)" w:hAnsi="Arial (W1)"/>
                <w:b/>
                <w:bCs/>
                <w:noProof w:val="0"/>
                <w:sz w:val="28"/>
                <w:szCs w:val="28"/>
              </w:rPr>
            </w:pPr>
            <w:sdt>
              <w:sdtPr>
                <w:rPr>
                  <w:rtl/>
                </w:rPr>
                <w:alias w:val="1571"/>
                <w:tag w:val="1571"/>
                <w:id w:val="-671565013"/>
                <w:text w:multiLine="1"/>
              </w:sdtPr>
              <w:sdtEndPr/>
              <w:sdtContent>
                <w:r w:rsidR="003F01B6" w:rsidRPr="003F01B6">
                  <w:rPr>
                    <w:rtl/>
                  </w:rPr>
                  <w:t>10</w:t>
                </w:r>
              </w:sdtContent>
            </w:sdt>
            <w:r w:rsidR="003F01B6" w:rsidRPr="003F01B6">
              <w:rPr>
                <w:b/>
                <w:bCs/>
                <w:noProof w:val="0"/>
                <w:sz w:val="28"/>
                <w:rtl/>
              </w:rPr>
              <w:t>.</w:t>
            </w:r>
            <w:sdt>
              <w:sdtPr>
                <w:rPr>
                  <w:b/>
                  <w:bCs/>
                  <w:noProof w:val="0"/>
                  <w:sz w:val="28"/>
                  <w:rtl/>
                </w:rPr>
                <w:alias w:val="1486"/>
                <w:tag w:val="1486"/>
                <w:id w:val="-547681004"/>
                <w:text w:multiLine="1"/>
              </w:sdtPr>
              <w:sdtEndPr/>
              <w:sdtContent>
                <w:r w:rsidR="00F654EF">
                  <w:rPr>
                    <w:rFonts w:hint="cs"/>
                    <w:b/>
                    <w:bCs/>
                    <w:noProof w:val="0"/>
                    <w:sz w:val="28"/>
                    <w:rtl/>
                  </w:rPr>
                  <w:t xml:space="preserve">י' </w:t>
                </w:r>
              </w:sdtContent>
            </w:sdt>
            <w:r w:rsidR="003F01B6" w:rsidRPr="003F01B6">
              <w:rPr>
                <w:b/>
                <w:bCs/>
                <w:noProof w:val="0"/>
                <w:sz w:val="28"/>
                <w:rtl/>
              </w:rPr>
              <w:t xml:space="preserve"> </w:t>
            </w:r>
            <w:sdt>
              <w:sdtPr>
                <w:rPr>
                  <w:b/>
                  <w:bCs/>
                  <w:noProof w:val="0"/>
                  <w:sz w:val="28"/>
                  <w:rtl/>
                </w:rPr>
                <w:alias w:val="2317"/>
                <w:tag w:val="2317"/>
                <w:id w:val="340746080"/>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r w:rsidR="003F01B6" w:rsidRPr="003F01B6">
              <w:rPr>
                <w:rtl/>
              </w:rPr>
              <w:t xml:space="preserve"> </w:t>
            </w:r>
          </w:p>
          <w:p w:rsidR="003F01B6" w:rsidRPr="003F01B6" w:rsidRDefault="00EC7BAC" w:rsidP="00F654EF">
            <w:pPr>
              <w:jc w:val="left"/>
            </w:pPr>
            <w:sdt>
              <w:sdtPr>
                <w:rPr>
                  <w:rtl/>
                </w:rPr>
                <w:alias w:val="1571"/>
                <w:tag w:val="1571"/>
                <w:id w:val="-1684510412"/>
                <w:text w:multiLine="1"/>
              </w:sdtPr>
              <w:sdtEndPr/>
              <w:sdtContent>
                <w:r w:rsidR="003F01B6" w:rsidRPr="003F01B6">
                  <w:rPr>
                    <w:rtl/>
                  </w:rPr>
                  <w:t>11</w:t>
                </w:r>
              </w:sdtContent>
            </w:sdt>
            <w:r w:rsidR="00F654EF">
              <w:rPr>
                <w:rFonts w:hint="cs"/>
                <w:b/>
                <w:bCs/>
                <w:noProof w:val="0"/>
                <w:sz w:val="28"/>
                <w:rtl/>
              </w:rPr>
              <w:t>כ'</w:t>
            </w:r>
            <w:r w:rsidR="003F01B6" w:rsidRPr="003F01B6">
              <w:rPr>
                <w:b/>
                <w:bCs/>
                <w:noProof w:val="0"/>
                <w:sz w:val="28"/>
                <w:rtl/>
              </w:rPr>
              <w:t xml:space="preserve"> </w:t>
            </w:r>
            <w:sdt>
              <w:sdtPr>
                <w:rPr>
                  <w:b/>
                  <w:bCs/>
                  <w:noProof w:val="0"/>
                  <w:sz w:val="28"/>
                  <w:rtl/>
                </w:rPr>
                <w:alias w:val="2317"/>
                <w:tag w:val="2317"/>
                <w:id w:val="170065111"/>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r w:rsidR="003F01B6" w:rsidRPr="003F01B6">
              <w:rPr>
                <w:rtl/>
              </w:rPr>
              <w:t xml:space="preserve"> </w:t>
            </w:r>
          </w:p>
          <w:p w:rsidR="003F01B6" w:rsidRPr="003F01B6" w:rsidRDefault="00EC7BAC" w:rsidP="00F654EF">
            <w:pPr>
              <w:jc w:val="left"/>
              <w:rPr>
                <w:rtl/>
              </w:rPr>
            </w:pPr>
            <w:sdt>
              <w:sdtPr>
                <w:rPr>
                  <w:rtl/>
                </w:rPr>
                <w:alias w:val="1571"/>
                <w:tag w:val="1571"/>
                <w:id w:val="1090275990"/>
                <w:text w:multiLine="1"/>
              </w:sdtPr>
              <w:sdtEndPr/>
              <w:sdtContent>
                <w:r w:rsidR="003F01B6" w:rsidRPr="003F01B6">
                  <w:rPr>
                    <w:rtl/>
                  </w:rPr>
                  <w:t>12</w:t>
                </w:r>
              </w:sdtContent>
            </w:sdt>
            <w:r w:rsidR="003F01B6" w:rsidRPr="003F01B6">
              <w:rPr>
                <w:b/>
                <w:bCs/>
                <w:noProof w:val="0"/>
                <w:sz w:val="28"/>
                <w:rtl/>
              </w:rPr>
              <w:t>.</w:t>
            </w:r>
            <w:sdt>
              <w:sdtPr>
                <w:rPr>
                  <w:b/>
                  <w:bCs/>
                  <w:noProof w:val="0"/>
                  <w:sz w:val="28"/>
                  <w:rtl/>
                </w:rPr>
                <w:alias w:val="1486"/>
                <w:tag w:val="1486"/>
                <w:id w:val="1936789557"/>
                <w:text w:multiLine="1"/>
              </w:sdtPr>
              <w:sdtEndPr/>
              <w:sdtContent>
                <w:r w:rsidR="00F654EF">
                  <w:rPr>
                    <w:rFonts w:hint="cs"/>
                    <w:b/>
                    <w:bCs/>
                    <w:noProof w:val="0"/>
                    <w:sz w:val="28"/>
                    <w:rtl/>
                  </w:rPr>
                  <w:t>ל'</w:t>
                </w:r>
              </w:sdtContent>
            </w:sdt>
            <w:r w:rsidR="003F01B6" w:rsidRPr="003F01B6">
              <w:rPr>
                <w:b/>
                <w:bCs/>
                <w:noProof w:val="0"/>
                <w:sz w:val="28"/>
                <w:rtl/>
              </w:rPr>
              <w:t xml:space="preserve"> </w:t>
            </w:r>
            <w:sdt>
              <w:sdtPr>
                <w:rPr>
                  <w:b/>
                  <w:bCs/>
                  <w:noProof w:val="0"/>
                  <w:sz w:val="28"/>
                  <w:rtl/>
                </w:rPr>
                <w:alias w:val="2317"/>
                <w:tag w:val="2317"/>
                <w:id w:val="289406056"/>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p w:rsidR="003F01B6" w:rsidRPr="003F01B6" w:rsidRDefault="003F01B6" w:rsidP="003F01B6">
            <w:pPr>
              <w:jc w:val="left"/>
              <w:rPr>
                <w:rFonts w:ascii="Arial" w:hAnsi="Arial"/>
                <w:b/>
                <w:bCs/>
                <w:noProof w:val="0"/>
                <w:sz w:val="26"/>
                <w:szCs w:val="26"/>
                <w:rtl/>
              </w:rPr>
            </w:pPr>
            <w:r w:rsidRPr="00D339FC">
              <w:rPr>
                <w:rFonts w:ascii="Arial" w:hAnsi="Arial"/>
                <w:b/>
                <w:bCs/>
                <w:rtl/>
              </w:rPr>
              <w:t xml:space="preserve">הנתבע 12 </w:t>
            </w:r>
            <w:r w:rsidRPr="00D339FC">
              <w:rPr>
                <w:rFonts w:ascii="Arial" w:hAnsi="Arial"/>
                <w:b/>
                <w:bCs/>
                <w:noProof w:val="0"/>
                <w:sz w:val="26"/>
                <w:szCs w:val="26"/>
                <w:rtl/>
              </w:rPr>
              <w:t>ע"י ב"כ עוה"ד שרגא בודה</w:t>
            </w:r>
          </w:p>
          <w:p w:rsidR="003F01B6" w:rsidRPr="003F01B6" w:rsidRDefault="00EC7BAC" w:rsidP="00F654EF">
            <w:pPr>
              <w:jc w:val="left"/>
              <w:rPr>
                <w:rFonts w:ascii="Arial (W1)" w:hAnsi="Arial (W1)"/>
                <w:b/>
                <w:bCs/>
                <w:noProof w:val="0"/>
                <w:sz w:val="28"/>
                <w:szCs w:val="28"/>
              </w:rPr>
            </w:pPr>
            <w:sdt>
              <w:sdtPr>
                <w:rPr>
                  <w:rtl/>
                </w:rPr>
                <w:alias w:val="1571"/>
                <w:tag w:val="1571"/>
                <w:id w:val="-25798145"/>
                <w:text w:multiLine="1"/>
              </w:sdtPr>
              <w:sdtEndPr/>
              <w:sdtContent>
                <w:r w:rsidR="003F01B6">
                  <w:rPr>
                    <w:rFonts w:hint="cs"/>
                    <w:rtl/>
                  </w:rPr>
                  <w:t>13</w:t>
                </w:r>
              </w:sdtContent>
            </w:sdt>
            <w:r w:rsidR="003F01B6" w:rsidRPr="003F01B6">
              <w:rPr>
                <w:b/>
                <w:bCs/>
                <w:noProof w:val="0"/>
                <w:sz w:val="28"/>
                <w:rtl/>
              </w:rPr>
              <w:t>.</w:t>
            </w:r>
            <w:sdt>
              <w:sdtPr>
                <w:rPr>
                  <w:b/>
                  <w:bCs/>
                  <w:noProof w:val="0"/>
                  <w:sz w:val="28"/>
                  <w:rtl/>
                </w:rPr>
                <w:alias w:val="1486"/>
                <w:tag w:val="1486"/>
                <w:id w:val="-381791449"/>
                <w:text w:multiLine="1"/>
              </w:sdtPr>
              <w:sdtEndPr/>
              <w:sdtContent>
                <w:r w:rsidR="00F654EF">
                  <w:rPr>
                    <w:rFonts w:hint="cs"/>
                    <w:b/>
                    <w:bCs/>
                    <w:noProof w:val="0"/>
                    <w:sz w:val="28"/>
                    <w:rtl/>
                  </w:rPr>
                  <w:t>מ'</w:t>
                </w:r>
              </w:sdtContent>
            </w:sdt>
            <w:r w:rsidR="003F01B6" w:rsidRPr="003F01B6">
              <w:rPr>
                <w:b/>
                <w:bCs/>
                <w:noProof w:val="0"/>
                <w:sz w:val="28"/>
                <w:rtl/>
              </w:rPr>
              <w:t xml:space="preserve"> </w:t>
            </w:r>
            <w:sdt>
              <w:sdtPr>
                <w:rPr>
                  <w:b/>
                  <w:bCs/>
                  <w:noProof w:val="0"/>
                  <w:sz w:val="28"/>
                  <w:rtl/>
                </w:rPr>
                <w:alias w:val="2317"/>
                <w:tag w:val="2317"/>
                <w:id w:val="1372645933"/>
                <w:placeholder>
                  <w:docPart w:val="E1E5205F41BF4DA0ABED4F1763326868"/>
                </w:placeholder>
                <w:text w:multiLine="1"/>
              </w:sdtPr>
              <w:sdtEndPr/>
              <w:sdtContent>
                <w:r w:rsidR="003F01B6" w:rsidRPr="003F01B6">
                  <w:rPr>
                    <w:b/>
                    <w:bCs/>
                    <w:noProof w:val="0"/>
                    <w:sz w:val="28"/>
                    <w:rtl/>
                  </w:rPr>
                  <w:t>ת"ז</w:t>
                </w:r>
              </w:sdtContent>
            </w:sdt>
            <w:r w:rsidR="003F01B6" w:rsidRPr="003F01B6">
              <w:rPr>
                <w:b/>
                <w:bCs/>
                <w:noProof w:val="0"/>
                <w:sz w:val="28"/>
                <w:rtl/>
              </w:rPr>
              <w:t xml:space="preserve"> </w:t>
            </w:r>
            <w:r w:rsidR="00F654EF">
              <w:rPr>
                <w:rFonts w:hint="cs"/>
                <w:b/>
                <w:bCs/>
                <w:noProof w:val="0"/>
                <w:sz w:val="28"/>
                <w:rtl/>
              </w:rPr>
              <w:t>-------</w:t>
            </w:r>
          </w:p>
        </w:tc>
      </w:tr>
      <w:tr w:rsidR="003F01B6" w:rsidRPr="003F01B6" w:rsidTr="003F01B6">
        <w:trPr>
          <w:jc w:val="center"/>
        </w:trPr>
        <w:tc>
          <w:tcPr>
            <w:tcW w:w="8820" w:type="dxa"/>
            <w:gridSpan w:val="2"/>
          </w:tcPr>
          <w:p w:rsidR="003F01B6" w:rsidRPr="003F01B6" w:rsidRDefault="003F01B6" w:rsidP="003F01B6">
            <w:pPr>
              <w:bidi w:val="0"/>
              <w:jc w:val="center"/>
              <w:rPr>
                <w:rFonts w:ascii="Arial" w:hAnsi="Arial"/>
                <w:b/>
                <w:bCs/>
                <w:noProof w:val="0"/>
                <w:sz w:val="28"/>
                <w:szCs w:val="28"/>
                <w:u w:val="single"/>
              </w:rPr>
            </w:pPr>
          </w:p>
          <w:p w:rsidR="003F01B6" w:rsidRPr="003F01B6" w:rsidRDefault="003F01B6" w:rsidP="003F01B6">
            <w:pPr>
              <w:bidi w:val="0"/>
              <w:jc w:val="center"/>
              <w:rPr>
                <w:rFonts w:ascii="Arial" w:hAnsi="Arial"/>
                <w:b/>
                <w:bCs/>
                <w:noProof w:val="0"/>
                <w:sz w:val="28"/>
                <w:szCs w:val="28"/>
                <w:u w:val="single"/>
                <w:rtl/>
              </w:rPr>
            </w:pPr>
          </w:p>
          <w:p w:rsidR="003F01B6" w:rsidRPr="003F01B6" w:rsidRDefault="003F01B6" w:rsidP="003F01B6">
            <w:pPr>
              <w:bidi w:val="0"/>
              <w:jc w:val="center"/>
              <w:rPr>
                <w:rFonts w:ascii="Arial" w:hAnsi="Arial"/>
                <w:b/>
                <w:bCs/>
                <w:noProof w:val="0"/>
                <w:sz w:val="28"/>
                <w:szCs w:val="28"/>
                <w:u w:val="single"/>
                <w:rtl/>
              </w:rPr>
            </w:pPr>
            <w:r w:rsidRPr="003F01B6">
              <w:rPr>
                <w:rFonts w:ascii="Arial" w:hAnsi="Arial"/>
                <w:b/>
                <w:bCs/>
                <w:noProof w:val="0"/>
                <w:sz w:val="28"/>
                <w:szCs w:val="28"/>
                <w:u w:val="single"/>
                <w:rtl/>
              </w:rPr>
              <w:t>פסק דין</w:t>
            </w:r>
          </w:p>
        </w:tc>
      </w:tr>
    </w:tbl>
    <w:p w:rsidR="003F01B6" w:rsidRPr="003F01B6" w:rsidRDefault="003F01B6" w:rsidP="003F01B6">
      <w:pPr>
        <w:spacing w:line="360" w:lineRule="auto"/>
        <w:jc w:val="both"/>
        <w:rPr>
          <w:rFonts w:ascii="Arial" w:hAnsi="Arial"/>
          <w:noProof w:val="0"/>
        </w:rPr>
      </w:pPr>
    </w:p>
    <w:p w:rsidR="003F01B6" w:rsidRPr="003F01B6" w:rsidRDefault="003F01B6" w:rsidP="00D339FC">
      <w:pPr>
        <w:spacing w:after="120" w:line="360" w:lineRule="auto"/>
        <w:jc w:val="both"/>
        <w:rPr>
          <w:rFonts w:ascii="Arial" w:hAnsi="Arial"/>
          <w:noProof w:val="0"/>
          <w:rtl/>
        </w:rPr>
      </w:pPr>
      <w:r w:rsidRPr="003F01B6">
        <w:rPr>
          <w:rFonts w:ascii="Arial" w:hAnsi="Arial"/>
          <w:noProof w:val="0"/>
          <w:rtl/>
        </w:rPr>
        <w:t xml:space="preserve">לפניי </w:t>
      </w:r>
      <w:r w:rsidRPr="00D339FC">
        <w:rPr>
          <w:rFonts w:ascii="Arial" w:hAnsi="Arial"/>
          <w:noProof w:val="0"/>
          <w:rtl/>
        </w:rPr>
        <w:t>תביעה לביטול פסק בוררות ולביטול פסק</w:t>
      </w:r>
      <w:r w:rsidRPr="003F01B6">
        <w:rPr>
          <w:rFonts w:ascii="Arial" w:hAnsi="Arial"/>
          <w:noProof w:val="0"/>
          <w:rtl/>
        </w:rPr>
        <w:t xml:space="preserve"> דין.</w:t>
      </w:r>
    </w:p>
    <w:p w:rsidR="003F01B6" w:rsidRPr="003F01B6" w:rsidRDefault="003F01B6" w:rsidP="00F654EF">
      <w:pPr>
        <w:numPr>
          <w:ilvl w:val="0"/>
          <w:numId w:val="1"/>
        </w:numPr>
        <w:spacing w:after="120" w:line="360" w:lineRule="auto"/>
        <w:ind w:hanging="720"/>
        <w:jc w:val="both"/>
        <w:rPr>
          <w:rFonts w:ascii="Arial" w:hAnsi="Arial"/>
          <w:noProof w:val="0"/>
          <w:rtl/>
        </w:rPr>
      </w:pPr>
      <w:r w:rsidRPr="003F01B6">
        <w:rPr>
          <w:rFonts w:ascii="Arial" w:hAnsi="Arial"/>
          <w:noProof w:val="0"/>
          <w:rtl/>
        </w:rPr>
        <w:t xml:space="preserve">התובע </w:t>
      </w:r>
      <w:r>
        <w:rPr>
          <w:rFonts w:ascii="Arial" w:hAnsi="Arial" w:hint="cs"/>
          <w:noProof w:val="0"/>
          <w:rtl/>
        </w:rPr>
        <w:t xml:space="preserve"> </w:t>
      </w:r>
      <w:r w:rsidRPr="003F01B6">
        <w:rPr>
          <w:rFonts w:ascii="Arial" w:hAnsi="Arial"/>
          <w:noProof w:val="0"/>
          <w:rtl/>
        </w:rPr>
        <w:t xml:space="preserve">והנתבעים 1-2 ו- 4-13 הם אחים, ילדיהם של המנוח מר </w:t>
      </w:r>
      <w:r w:rsidR="00F654EF">
        <w:rPr>
          <w:rFonts w:ascii="Arial" w:hAnsi="Arial" w:hint="cs"/>
          <w:noProof w:val="0"/>
          <w:rtl/>
        </w:rPr>
        <w:t>-------</w:t>
      </w:r>
      <w:r w:rsidRPr="003F01B6">
        <w:rPr>
          <w:rFonts w:ascii="Arial" w:hAnsi="Arial"/>
          <w:noProof w:val="0"/>
          <w:rtl/>
        </w:rPr>
        <w:t xml:space="preserve"> ז"ל שנשא בחייו תעודת זהות מספר 061737417 </w:t>
      </w:r>
      <w:r w:rsidRPr="003F01B6">
        <w:rPr>
          <w:rFonts w:ascii="Arial" w:hAnsi="Arial"/>
          <w:b/>
          <w:bCs/>
          <w:noProof w:val="0"/>
          <w:rtl/>
        </w:rPr>
        <w:t>("האב המנוח")</w:t>
      </w:r>
      <w:r w:rsidRPr="003F01B6">
        <w:rPr>
          <w:rFonts w:ascii="Arial" w:hAnsi="Arial"/>
          <w:noProof w:val="0"/>
          <w:rtl/>
        </w:rPr>
        <w:t xml:space="preserve"> והמנוחה גב' </w:t>
      </w:r>
      <w:r w:rsidR="00F654EF">
        <w:rPr>
          <w:rFonts w:ascii="Arial" w:hAnsi="Arial" w:hint="cs"/>
          <w:noProof w:val="0"/>
          <w:rtl/>
        </w:rPr>
        <w:t>-------</w:t>
      </w:r>
      <w:r w:rsidRPr="003F01B6">
        <w:rPr>
          <w:rFonts w:ascii="Arial" w:hAnsi="Arial"/>
          <w:noProof w:val="0"/>
          <w:rtl/>
        </w:rPr>
        <w:t xml:space="preserve"> ז"ל שנשאה בחייה  תעודת זהות מספר 061737425 </w:t>
      </w:r>
      <w:r w:rsidRPr="003F01B6">
        <w:rPr>
          <w:rFonts w:ascii="Arial" w:hAnsi="Arial"/>
          <w:b/>
          <w:bCs/>
          <w:noProof w:val="0"/>
          <w:rtl/>
        </w:rPr>
        <w:t>("האם המנוחה")</w:t>
      </w:r>
      <w:r w:rsidRPr="003F01B6">
        <w:rPr>
          <w:rFonts w:ascii="Arial" w:hAnsi="Arial"/>
          <w:noProof w:val="0"/>
          <w:rtl/>
        </w:rPr>
        <w:t xml:space="preserve"> </w:t>
      </w:r>
      <w:r w:rsidRPr="003F01B6">
        <w:rPr>
          <w:rFonts w:ascii="Arial" w:hAnsi="Arial"/>
          <w:b/>
          <w:bCs/>
          <w:noProof w:val="0"/>
          <w:rtl/>
        </w:rPr>
        <w:t>("ההורים")</w:t>
      </w:r>
      <w:r w:rsidRPr="003F01B6">
        <w:rPr>
          <w:rFonts w:ascii="Arial" w:hAnsi="Arial"/>
          <w:noProof w:val="0"/>
          <w:rtl/>
        </w:rPr>
        <w:t xml:space="preserve">. </w:t>
      </w:r>
    </w:p>
    <w:p w:rsidR="003F01B6" w:rsidRPr="003F01B6" w:rsidRDefault="003F01B6" w:rsidP="00F654EF">
      <w:pPr>
        <w:numPr>
          <w:ilvl w:val="0"/>
          <w:numId w:val="1"/>
        </w:numPr>
        <w:spacing w:after="120" w:line="360" w:lineRule="auto"/>
        <w:ind w:hanging="720"/>
        <w:jc w:val="both"/>
        <w:rPr>
          <w:rFonts w:ascii="Arial" w:hAnsi="Arial"/>
          <w:noProof w:val="0"/>
        </w:rPr>
      </w:pPr>
      <w:r w:rsidRPr="003F01B6">
        <w:rPr>
          <w:rFonts w:ascii="Arial" w:hAnsi="Arial"/>
          <w:noProof w:val="0"/>
          <w:rtl/>
        </w:rPr>
        <w:t>האב המנוח  נפטר ביום 30.8.2010. צו ירושה בעניין עיזבון האב המנוח ניתן ביום 23.10.2014 על ידי הרשמת לענייני ירושה ב</w:t>
      </w:r>
      <w:r w:rsidR="00F654EF">
        <w:rPr>
          <w:rFonts w:ascii="Arial" w:hAnsi="Arial" w:hint="cs"/>
          <w:noProof w:val="0"/>
          <w:rtl/>
        </w:rPr>
        <w:t>-----</w:t>
      </w:r>
      <w:r w:rsidRPr="003F01B6">
        <w:rPr>
          <w:rFonts w:ascii="Arial" w:hAnsi="Arial"/>
          <w:noProof w:val="0"/>
          <w:rtl/>
        </w:rPr>
        <w:t>, לפיו בת הזוג וילדיו הם יורשיו על פי דין. בהתאם לצו הירושה האם המנוחה זכאית ל-13/26 חלקים בעיזבון האב המנוח וכל ילד זכאי ל-1/26 חלקים בעיזבון.</w:t>
      </w:r>
    </w:p>
    <w:p w:rsidR="00D339FC" w:rsidRPr="00D339FC" w:rsidRDefault="003F01B6" w:rsidP="0019294C">
      <w:pPr>
        <w:numPr>
          <w:ilvl w:val="0"/>
          <w:numId w:val="1"/>
        </w:numPr>
        <w:spacing w:after="120" w:line="360" w:lineRule="auto"/>
        <w:ind w:hanging="720"/>
        <w:jc w:val="both"/>
        <w:rPr>
          <w:rFonts w:ascii="Arial" w:hAnsi="Arial"/>
          <w:noProof w:val="0"/>
          <w:rtl/>
        </w:rPr>
      </w:pPr>
      <w:r w:rsidRPr="00D339FC">
        <w:rPr>
          <w:rFonts w:ascii="Arial" w:hAnsi="Arial"/>
          <w:noProof w:val="0"/>
          <w:rtl/>
        </w:rPr>
        <w:t xml:space="preserve">האם המנוחה נפטרה ביום 30.1.2022, לאחר המועדים שנקבעו להגשת סיכומים ולפני מתן פסק הדין. לא צורף צו ירושה או צו קיום צוואה. </w:t>
      </w:r>
    </w:p>
    <w:p w:rsidR="00D339FC" w:rsidRDefault="003F01B6" w:rsidP="00D339FC">
      <w:pPr>
        <w:spacing w:after="120" w:line="360" w:lineRule="auto"/>
        <w:ind w:left="720"/>
        <w:jc w:val="both"/>
        <w:rPr>
          <w:rFonts w:ascii="Arial" w:hAnsi="Arial"/>
          <w:noProof w:val="0"/>
          <w:rtl/>
        </w:rPr>
      </w:pPr>
      <w:r w:rsidRPr="003F01B6">
        <w:rPr>
          <w:rFonts w:ascii="Arial" w:hAnsi="Arial"/>
          <w:noProof w:val="0"/>
          <w:rtl/>
        </w:rPr>
        <w:lastRenderedPageBreak/>
        <w:t>בחייה, לא</w:t>
      </w:r>
      <w:r w:rsidR="00D339FC">
        <w:rPr>
          <w:rFonts w:ascii="Arial" w:hAnsi="Arial" w:hint="cs"/>
          <w:noProof w:val="0"/>
          <w:rtl/>
        </w:rPr>
        <w:t>ֵ</w:t>
      </w:r>
      <w:r w:rsidRPr="003F01B6">
        <w:rPr>
          <w:rFonts w:ascii="Arial" w:hAnsi="Arial"/>
          <w:noProof w:val="0"/>
          <w:rtl/>
        </w:rPr>
        <w:t xml:space="preserve">ם מונה אפוטרופוס החל מיום 12.1.2015 (צו זמני שניתן על ידי כבוד השופטת ענבל קצב- קרן בתיק א"פ 11580-08-14 לתקופה בת חצי שנה). </w:t>
      </w:r>
    </w:p>
    <w:p w:rsidR="003F01B6" w:rsidRPr="003F01B6" w:rsidRDefault="003F01B6" w:rsidP="00F654EF">
      <w:pPr>
        <w:spacing w:after="120" w:line="360" w:lineRule="auto"/>
        <w:ind w:left="720"/>
        <w:jc w:val="both"/>
        <w:rPr>
          <w:rFonts w:ascii="Arial" w:hAnsi="Arial"/>
          <w:noProof w:val="0"/>
          <w:rtl/>
        </w:rPr>
      </w:pPr>
      <w:r w:rsidRPr="003F01B6">
        <w:rPr>
          <w:rFonts w:ascii="Arial" w:hAnsi="Arial"/>
          <w:noProof w:val="0"/>
          <w:rtl/>
        </w:rPr>
        <w:t xml:space="preserve">במהלך ההליך, הייתה האם </w:t>
      </w:r>
      <w:r w:rsidR="00D339FC">
        <w:rPr>
          <w:rFonts w:ascii="Arial" w:hAnsi="Arial" w:hint="cs"/>
          <w:noProof w:val="0"/>
          <w:rtl/>
        </w:rPr>
        <w:t xml:space="preserve">המנוחה </w:t>
      </w:r>
      <w:r w:rsidRPr="003F01B6">
        <w:rPr>
          <w:rFonts w:ascii="Arial" w:hAnsi="Arial"/>
          <w:noProof w:val="0"/>
          <w:rtl/>
        </w:rPr>
        <w:t xml:space="preserve">מיוצגת על ידי ב"כ מטעם האפוטרופוס, </w:t>
      </w:r>
      <w:r w:rsidR="00F654EF">
        <w:rPr>
          <w:rFonts w:ascii="Arial" w:hAnsi="Arial" w:hint="cs"/>
          <w:noProof w:val="0"/>
          <w:rtl/>
        </w:rPr>
        <w:t>-----------</w:t>
      </w:r>
      <w:r w:rsidRPr="003F01B6">
        <w:rPr>
          <w:rFonts w:ascii="Arial" w:hAnsi="Arial"/>
          <w:noProof w:val="0"/>
          <w:rtl/>
        </w:rPr>
        <w:t>, אשר מונה על ענייניה האישיים, הרפואיים והרכושיים ביום 31.3.2020 במסגרת תיק א"פ 53941-03-20.</w:t>
      </w:r>
    </w:p>
    <w:p w:rsidR="003F01B6" w:rsidRPr="003F01B6" w:rsidRDefault="003F01B6" w:rsidP="00D339FC">
      <w:pPr>
        <w:numPr>
          <w:ilvl w:val="0"/>
          <w:numId w:val="1"/>
        </w:numPr>
        <w:spacing w:after="120" w:line="360" w:lineRule="auto"/>
        <w:ind w:hanging="720"/>
        <w:jc w:val="both"/>
        <w:rPr>
          <w:rFonts w:ascii="Arial" w:hAnsi="Arial"/>
          <w:b/>
          <w:bCs/>
          <w:noProof w:val="0"/>
          <w:rtl/>
        </w:rPr>
      </w:pPr>
      <w:r w:rsidRPr="003F01B6">
        <w:rPr>
          <w:rFonts w:ascii="Arial" w:hAnsi="Arial"/>
          <w:noProof w:val="0"/>
          <w:rtl/>
        </w:rPr>
        <w:t>האב המנוח והאם המנוחה צברו בחייהם המשותפים נכסים, לרבות תכשיטים וזהב.</w:t>
      </w:r>
    </w:p>
    <w:p w:rsidR="003F01B6" w:rsidRPr="003F01B6" w:rsidRDefault="003F01B6" w:rsidP="00D339FC">
      <w:pPr>
        <w:numPr>
          <w:ilvl w:val="0"/>
          <w:numId w:val="1"/>
        </w:numPr>
        <w:spacing w:after="120" w:line="360" w:lineRule="auto"/>
        <w:ind w:hanging="720"/>
        <w:jc w:val="both"/>
        <w:rPr>
          <w:rFonts w:ascii="Arial" w:hAnsi="Arial"/>
          <w:noProof w:val="0"/>
          <w:rtl/>
        </w:rPr>
      </w:pPr>
      <w:r w:rsidRPr="003F01B6">
        <w:rPr>
          <w:rFonts w:ascii="Arial" w:hAnsi="Arial"/>
          <w:noProof w:val="0"/>
          <w:rtl/>
        </w:rPr>
        <w:t xml:space="preserve">בין הנתבע 1 לבין הנתבע 2 התנהלו הליכי בוררות בפני כבוד הבורר עו"ד רונן סטי </w:t>
      </w:r>
      <w:r w:rsidRPr="003F01B6">
        <w:rPr>
          <w:rFonts w:ascii="Arial" w:hAnsi="Arial"/>
          <w:b/>
          <w:bCs/>
          <w:noProof w:val="0"/>
          <w:rtl/>
        </w:rPr>
        <w:t>("הבורר")</w:t>
      </w:r>
      <w:r w:rsidRPr="003F01B6">
        <w:rPr>
          <w:rFonts w:ascii="Arial" w:hAnsi="Arial"/>
          <w:noProof w:val="0"/>
          <w:rtl/>
        </w:rPr>
        <w:t xml:space="preserve">, שהם בסיס התביעה שלפניי, בין היתר, בהתייחס לתכשיטים והזהב של ההורים </w:t>
      </w:r>
      <w:r w:rsidRPr="003F01B6">
        <w:rPr>
          <w:rFonts w:ascii="Arial" w:hAnsi="Arial"/>
          <w:b/>
          <w:bCs/>
          <w:noProof w:val="0"/>
          <w:rtl/>
        </w:rPr>
        <w:t xml:space="preserve">("התכשיטים והזהב </w:t>
      </w:r>
      <w:r w:rsidRPr="00D339FC">
        <w:rPr>
          <w:rFonts w:ascii="Arial" w:hAnsi="Arial"/>
          <w:noProof w:val="0"/>
          <w:rtl/>
        </w:rPr>
        <w:t>או</w:t>
      </w:r>
      <w:r w:rsidRPr="003F01B6">
        <w:rPr>
          <w:rFonts w:ascii="Arial" w:hAnsi="Arial"/>
          <w:b/>
          <w:bCs/>
          <w:noProof w:val="0"/>
          <w:rtl/>
        </w:rPr>
        <w:t xml:space="preserve"> התכשיטים")</w:t>
      </w:r>
      <w:r w:rsidRPr="003F01B6">
        <w:rPr>
          <w:rFonts w:ascii="Arial" w:hAnsi="Arial"/>
          <w:noProof w:val="0"/>
          <w:rtl/>
        </w:rPr>
        <w:t xml:space="preserve">. </w:t>
      </w:r>
    </w:p>
    <w:p w:rsidR="00D339FC" w:rsidRDefault="003F01B6" w:rsidP="00CC73D5">
      <w:pPr>
        <w:spacing w:after="120" w:line="360" w:lineRule="auto"/>
        <w:ind w:left="720"/>
        <w:jc w:val="both"/>
        <w:rPr>
          <w:rFonts w:ascii="Arial" w:hAnsi="Arial"/>
          <w:noProof w:val="0"/>
          <w:rtl/>
        </w:rPr>
      </w:pPr>
      <w:r w:rsidRPr="003F01B6">
        <w:rPr>
          <w:rFonts w:ascii="Arial" w:hAnsi="Arial"/>
          <w:noProof w:val="0"/>
          <w:u w:val="single"/>
          <w:rtl/>
        </w:rPr>
        <w:t>פסק הבוררות הראשון</w:t>
      </w:r>
      <w:r w:rsidR="00D339FC">
        <w:rPr>
          <w:rFonts w:ascii="Arial" w:hAnsi="Arial" w:hint="cs"/>
          <w:noProof w:val="0"/>
          <w:rtl/>
        </w:rPr>
        <w:t xml:space="preserve"> </w:t>
      </w:r>
    </w:p>
    <w:p w:rsidR="00CC73D5" w:rsidRDefault="00CC73D5" w:rsidP="00D339FC">
      <w:pPr>
        <w:spacing w:after="120" w:line="360" w:lineRule="auto"/>
        <w:ind w:left="720"/>
        <w:jc w:val="both"/>
        <w:rPr>
          <w:rFonts w:ascii="Arial" w:hAnsi="Arial"/>
          <w:noProof w:val="0"/>
          <w:rtl/>
        </w:rPr>
      </w:pPr>
      <w:r>
        <w:rPr>
          <w:rFonts w:ascii="Arial" w:hAnsi="Arial" w:hint="cs"/>
          <w:noProof w:val="0"/>
          <w:rtl/>
        </w:rPr>
        <w:t xml:space="preserve">פסק הבוררות הראשון </w:t>
      </w:r>
      <w:r w:rsidR="003F01B6" w:rsidRPr="003F01B6">
        <w:rPr>
          <w:rFonts w:ascii="Arial" w:hAnsi="Arial"/>
          <w:noProof w:val="0"/>
          <w:rtl/>
        </w:rPr>
        <w:t xml:space="preserve">ניתן ביום 19.1.2017, ותוקן ביום 7.3.2017 </w:t>
      </w:r>
      <w:r w:rsidR="003F01B6" w:rsidRPr="003F01B6">
        <w:rPr>
          <w:rFonts w:ascii="Arial" w:hAnsi="Arial"/>
          <w:b/>
          <w:bCs/>
          <w:noProof w:val="0"/>
          <w:rtl/>
        </w:rPr>
        <w:t>("פסק הבוררות הראשון")</w:t>
      </w:r>
      <w:r w:rsidR="003F01B6" w:rsidRPr="003F01B6">
        <w:rPr>
          <w:rFonts w:ascii="Arial" w:hAnsi="Arial"/>
          <w:noProof w:val="0"/>
          <w:rtl/>
        </w:rPr>
        <w:t xml:space="preserve">. פסק הבוררות הראשון (צורף כנספח ד'1 לת"ב 10973-04-17, עמ' 41) דן, בין היתר, בתביעה של הנתבע 2 כנגד הנתבע 1 להשבת תכשיטים (עמ' 59, 65 לפסק הבוררות הראשון). </w:t>
      </w:r>
    </w:p>
    <w:p w:rsidR="00CC73D5" w:rsidRDefault="003F01B6" w:rsidP="00D339FC">
      <w:pPr>
        <w:spacing w:after="120" w:line="360" w:lineRule="auto"/>
        <w:ind w:left="720"/>
        <w:jc w:val="both"/>
        <w:rPr>
          <w:rFonts w:ascii="Arial" w:hAnsi="Arial"/>
          <w:noProof w:val="0"/>
          <w:rtl/>
        </w:rPr>
      </w:pPr>
      <w:r w:rsidRPr="003F01B6">
        <w:rPr>
          <w:rFonts w:ascii="Arial" w:hAnsi="Arial"/>
          <w:noProof w:val="0"/>
          <w:rtl/>
        </w:rPr>
        <w:t xml:space="preserve">בתביעתו,  הנתבע 2 ביקש להורות על מתן צו עשה להשבת תכשיטיה של האם </w:t>
      </w:r>
      <w:r w:rsidR="00CC73D5">
        <w:rPr>
          <w:rFonts w:ascii="Arial" w:hAnsi="Arial" w:hint="cs"/>
          <w:noProof w:val="0"/>
          <w:rtl/>
        </w:rPr>
        <w:t xml:space="preserve">המנוחה </w:t>
      </w:r>
      <w:r w:rsidRPr="003F01B6">
        <w:rPr>
          <w:rFonts w:ascii="Arial" w:hAnsi="Arial"/>
          <w:noProof w:val="0"/>
          <w:rtl/>
        </w:rPr>
        <w:t xml:space="preserve">לידיו (סעיף 406 לפסק הבוררות הראשון). לטענתו, הנתבע 1 נטל לידיו את התכשיטים שההורים השאירו למשמורת בידיו של הנתבע 2, צוין כי שווים אינו ידוע וכי הנתבע 2 מבקש להשיבם בעין (סעיף 407 לפסק הבוררות הראשון). </w:t>
      </w:r>
    </w:p>
    <w:p w:rsidR="00CC73D5" w:rsidRDefault="003F01B6" w:rsidP="00D339FC">
      <w:pPr>
        <w:spacing w:after="120" w:line="360" w:lineRule="auto"/>
        <w:ind w:left="720"/>
        <w:jc w:val="both"/>
        <w:rPr>
          <w:rFonts w:ascii="Arial" w:hAnsi="Arial"/>
          <w:noProof w:val="0"/>
          <w:rtl/>
        </w:rPr>
      </w:pPr>
      <w:r w:rsidRPr="003F01B6">
        <w:rPr>
          <w:rFonts w:ascii="Arial" w:hAnsi="Arial"/>
          <w:noProof w:val="0"/>
          <w:rtl/>
        </w:rPr>
        <w:t xml:space="preserve">מנגד, הנתבע 1 טען כי לא נטל לעצמו תכשיטים, לא ידוע לו שווים וכי אלו אינם בבעלות הנתבע 2 אלא בבעלות ההורים (סעיפים 408 ו-409 לפסק הבוררות הראשון). </w:t>
      </w:r>
    </w:p>
    <w:p w:rsidR="00CC73D5" w:rsidRDefault="003F01B6" w:rsidP="00F654EF">
      <w:pPr>
        <w:spacing w:after="120" w:line="360" w:lineRule="auto"/>
        <w:ind w:left="720"/>
        <w:jc w:val="both"/>
        <w:rPr>
          <w:rFonts w:ascii="Arial" w:hAnsi="Arial"/>
          <w:noProof w:val="0"/>
          <w:rtl/>
        </w:rPr>
      </w:pPr>
      <w:r w:rsidRPr="003F01B6">
        <w:rPr>
          <w:rFonts w:ascii="Arial" w:hAnsi="Arial"/>
          <w:noProof w:val="0"/>
          <w:rtl/>
        </w:rPr>
        <w:t xml:space="preserve">בפרק הסיכום (סעיף 844) נקבע כי </w:t>
      </w:r>
      <w:r w:rsidRPr="003F01B6">
        <w:rPr>
          <w:rFonts w:ascii="Arial" w:hAnsi="Arial"/>
          <w:b/>
          <w:bCs/>
          <w:noProof w:val="0"/>
          <w:rtl/>
        </w:rPr>
        <w:t>"...</w:t>
      </w:r>
      <w:r w:rsidR="00F654EF">
        <w:rPr>
          <w:rFonts w:ascii="Arial" w:hAnsi="Arial" w:hint="cs"/>
          <w:b/>
          <w:bCs/>
          <w:noProof w:val="0"/>
          <w:rtl/>
        </w:rPr>
        <w:t>------</w:t>
      </w:r>
      <w:r w:rsidRPr="003F01B6">
        <w:rPr>
          <w:rFonts w:ascii="Arial" w:hAnsi="Arial"/>
          <w:b/>
          <w:bCs/>
          <w:noProof w:val="0"/>
          <w:rtl/>
        </w:rPr>
        <w:t xml:space="preserve"> ישיב לידי </w:t>
      </w:r>
      <w:r w:rsidR="00F654EF">
        <w:rPr>
          <w:rFonts w:ascii="Arial" w:hAnsi="Arial" w:hint="cs"/>
          <w:b/>
          <w:bCs/>
          <w:noProof w:val="0"/>
          <w:rtl/>
        </w:rPr>
        <w:t>-----</w:t>
      </w:r>
      <w:r w:rsidRPr="003F01B6">
        <w:rPr>
          <w:rFonts w:ascii="Arial" w:hAnsi="Arial"/>
          <w:b/>
          <w:bCs/>
          <w:noProof w:val="0"/>
          <w:rtl/>
        </w:rPr>
        <w:t xml:space="preserve"> את התכשיטים והזהב שהיו בכספת ובכפוף לכך שהם בידיו ו/או בשליטתו. אם מסיבה כזו או אחרת מסר אותם לגורם אחר, עליו לקבל אותם חזרה ולהשיבם לידי </w:t>
      </w:r>
      <w:r w:rsidR="00F654EF">
        <w:rPr>
          <w:rFonts w:ascii="Arial" w:hAnsi="Arial" w:hint="cs"/>
          <w:b/>
          <w:bCs/>
          <w:noProof w:val="0"/>
          <w:rtl/>
        </w:rPr>
        <w:t>----</w:t>
      </w:r>
      <w:r w:rsidRPr="003F01B6">
        <w:rPr>
          <w:rFonts w:ascii="Arial" w:hAnsi="Arial"/>
          <w:b/>
          <w:bCs/>
          <w:noProof w:val="0"/>
          <w:rtl/>
        </w:rPr>
        <w:t>"</w:t>
      </w:r>
      <w:r w:rsidRPr="003F01B6">
        <w:rPr>
          <w:rFonts w:ascii="Arial" w:hAnsi="Arial"/>
          <w:noProof w:val="0"/>
          <w:rtl/>
        </w:rPr>
        <w:t xml:space="preserve"> (סעיף 844.2). </w:t>
      </w:r>
    </w:p>
    <w:p w:rsidR="00CC73D5" w:rsidRDefault="003F01B6" w:rsidP="00D339FC">
      <w:pPr>
        <w:spacing w:after="120" w:line="360" w:lineRule="auto"/>
        <w:ind w:left="720"/>
        <w:jc w:val="both"/>
        <w:rPr>
          <w:rFonts w:ascii="Arial" w:hAnsi="Arial"/>
          <w:noProof w:val="0"/>
          <w:rtl/>
        </w:rPr>
      </w:pPr>
      <w:r w:rsidRPr="003F01B6">
        <w:rPr>
          <w:rFonts w:ascii="Arial" w:hAnsi="Arial"/>
          <w:noProof w:val="0"/>
          <w:rtl/>
        </w:rPr>
        <w:t>הודגש שהקביעה ביחס ליחסים ביניהם אין בה קביעה לעניין היחסים של הנתבע 2 למול כלל האחים (סעיף 844.3</w:t>
      </w:r>
      <w:r w:rsidR="00CC73D5">
        <w:rPr>
          <w:rFonts w:ascii="Arial" w:hAnsi="Arial" w:hint="cs"/>
          <w:noProof w:val="0"/>
          <w:rtl/>
        </w:rPr>
        <w:t xml:space="preserve"> לפסק הבוררות הראשון</w:t>
      </w:r>
      <w:r w:rsidRPr="003F01B6">
        <w:rPr>
          <w:rFonts w:ascii="Arial" w:hAnsi="Arial"/>
          <w:noProof w:val="0"/>
          <w:rtl/>
        </w:rPr>
        <w:t xml:space="preserve">). </w:t>
      </w:r>
    </w:p>
    <w:p w:rsidR="003F01B6" w:rsidRPr="003F01B6" w:rsidRDefault="003F01B6" w:rsidP="00D339FC">
      <w:pPr>
        <w:spacing w:after="120" w:line="360" w:lineRule="auto"/>
        <w:ind w:left="720"/>
        <w:jc w:val="both"/>
        <w:rPr>
          <w:rFonts w:ascii="Arial" w:hAnsi="Arial"/>
          <w:noProof w:val="0"/>
        </w:rPr>
      </w:pPr>
      <w:r w:rsidRPr="003F01B6">
        <w:rPr>
          <w:rFonts w:ascii="Arial" w:hAnsi="Arial"/>
          <w:noProof w:val="0"/>
          <w:rtl/>
        </w:rPr>
        <w:t xml:space="preserve">פסק הדין המאשר את פסק הבוררות הראשון ניתן ביום 12.9.2018  בתיק ת"ב 61353-06-17 על ידי כבוד השופט טל פפרני </w:t>
      </w:r>
      <w:r w:rsidRPr="003F01B6">
        <w:rPr>
          <w:rFonts w:ascii="Arial" w:hAnsi="Arial"/>
          <w:b/>
          <w:bCs/>
          <w:noProof w:val="0"/>
          <w:rtl/>
        </w:rPr>
        <w:t>("פסק הדין מיום 12.9.2018")</w:t>
      </w:r>
      <w:r w:rsidRPr="003F01B6">
        <w:rPr>
          <w:rFonts w:ascii="Arial" w:hAnsi="Arial"/>
          <w:noProof w:val="0"/>
          <w:rtl/>
        </w:rPr>
        <w:t>.</w:t>
      </w:r>
    </w:p>
    <w:p w:rsidR="00CC73D5" w:rsidRDefault="003F01B6" w:rsidP="00CC73D5">
      <w:pPr>
        <w:spacing w:after="120" w:line="360" w:lineRule="auto"/>
        <w:ind w:left="720"/>
        <w:jc w:val="both"/>
        <w:rPr>
          <w:rFonts w:ascii="Arial" w:hAnsi="Arial"/>
          <w:noProof w:val="0"/>
          <w:rtl/>
        </w:rPr>
      </w:pPr>
      <w:r w:rsidRPr="003F01B6">
        <w:rPr>
          <w:rFonts w:ascii="Arial" w:hAnsi="Arial"/>
          <w:noProof w:val="0"/>
          <w:u w:val="single"/>
          <w:rtl/>
        </w:rPr>
        <w:t>פסק הבוררות השני</w:t>
      </w:r>
      <w:r w:rsidRPr="003F01B6">
        <w:rPr>
          <w:rFonts w:ascii="Arial" w:hAnsi="Arial"/>
          <w:noProof w:val="0"/>
          <w:rtl/>
        </w:rPr>
        <w:t xml:space="preserve"> </w:t>
      </w:r>
    </w:p>
    <w:p w:rsidR="00CC73D5" w:rsidRDefault="00CC73D5" w:rsidP="00CC73D5">
      <w:pPr>
        <w:spacing w:after="120" w:line="360" w:lineRule="auto"/>
        <w:ind w:left="720"/>
        <w:jc w:val="both"/>
        <w:rPr>
          <w:rFonts w:ascii="Arial" w:hAnsi="Arial"/>
          <w:noProof w:val="0"/>
          <w:rtl/>
        </w:rPr>
      </w:pPr>
      <w:r>
        <w:rPr>
          <w:rFonts w:ascii="Arial" w:hAnsi="Arial" w:hint="cs"/>
          <w:noProof w:val="0"/>
          <w:rtl/>
        </w:rPr>
        <w:t xml:space="preserve">פסק הבוררות השני </w:t>
      </w:r>
      <w:r w:rsidR="003F01B6" w:rsidRPr="003F01B6">
        <w:rPr>
          <w:rFonts w:ascii="Arial" w:hAnsi="Arial"/>
          <w:noProof w:val="0"/>
          <w:rtl/>
        </w:rPr>
        <w:t xml:space="preserve">ניתן ביום 18.12.2019 והתייחס, בין היתר, לתביעה כספית על סך של 380,970.47 </w:t>
      </w:r>
      <w:r>
        <w:rPr>
          <w:rFonts w:ascii="Arial" w:hAnsi="Arial" w:hint="cs"/>
          <w:noProof w:val="0"/>
          <w:rtl/>
        </w:rPr>
        <w:t>ש"ח</w:t>
      </w:r>
      <w:r w:rsidR="003F01B6" w:rsidRPr="003F01B6">
        <w:rPr>
          <w:rFonts w:ascii="Arial" w:hAnsi="Arial"/>
          <w:noProof w:val="0"/>
          <w:rtl/>
        </w:rPr>
        <w:t xml:space="preserve"> שהגיש הנתבע 2 כנגד הנתבע 1 שעניינה שווי תכשיטים שהיה על הנתבע 1 </w:t>
      </w:r>
      <w:r w:rsidR="003F01B6" w:rsidRPr="003F01B6">
        <w:rPr>
          <w:rFonts w:ascii="Arial" w:hAnsi="Arial"/>
          <w:noProof w:val="0"/>
          <w:rtl/>
        </w:rPr>
        <w:lastRenderedPageBreak/>
        <w:t xml:space="preserve">להשיב לנתבע 2 </w:t>
      </w:r>
      <w:r w:rsidR="003F01B6" w:rsidRPr="003F01B6">
        <w:rPr>
          <w:rFonts w:ascii="Arial" w:hAnsi="Arial"/>
          <w:b/>
          <w:bCs/>
          <w:noProof w:val="0"/>
          <w:rtl/>
        </w:rPr>
        <w:t>("פסק הבוררות השני ")</w:t>
      </w:r>
      <w:r w:rsidR="003F01B6" w:rsidRPr="003F01B6">
        <w:rPr>
          <w:rFonts w:ascii="Arial" w:hAnsi="Arial"/>
          <w:noProof w:val="0"/>
          <w:rtl/>
        </w:rPr>
        <w:t xml:space="preserve">. השאלות המרכזיות שנידונו בפסק הבוררות השני בהקשר זה הן בהתייחס לכמותו ושוויו של הזהב. </w:t>
      </w:r>
    </w:p>
    <w:p w:rsidR="00CC73D5" w:rsidRDefault="003F01B6" w:rsidP="00CC73D5">
      <w:pPr>
        <w:spacing w:after="120" w:line="360" w:lineRule="auto"/>
        <w:ind w:left="720"/>
        <w:jc w:val="both"/>
        <w:rPr>
          <w:rFonts w:ascii="Arial" w:hAnsi="Arial"/>
          <w:noProof w:val="0"/>
          <w:rtl/>
        </w:rPr>
      </w:pPr>
      <w:r w:rsidRPr="003F01B6">
        <w:rPr>
          <w:rFonts w:ascii="Arial" w:hAnsi="Arial"/>
          <w:noProof w:val="0"/>
          <w:rtl/>
        </w:rPr>
        <w:t xml:space="preserve">הבורר ציין שלצד שאלות אלה קיימות שאלות רבות אחרות שההכרעה בהן נלווית בעיקרה (סעיף 11 לפסק הבוררות השני, נספח א' לת"ב 8370-01-20, עמ' 7).  הבורר קבע כי משקל הזהב בו יש לחייב את הנתבע 1 הוא 1.5 ק"ג (סעיף 88) לפי מחיר של 152.38 </w:t>
      </w:r>
      <w:r w:rsidR="00CC73D5">
        <w:rPr>
          <w:rFonts w:ascii="Arial" w:hAnsi="Arial" w:hint="cs"/>
          <w:noProof w:val="0"/>
          <w:rtl/>
        </w:rPr>
        <w:t>ש"ח</w:t>
      </w:r>
      <w:r w:rsidRPr="003F01B6">
        <w:rPr>
          <w:rFonts w:ascii="Arial" w:hAnsi="Arial"/>
          <w:noProof w:val="0"/>
          <w:rtl/>
        </w:rPr>
        <w:t xml:space="preserve"> לגר' זהב (137.1). </w:t>
      </w:r>
    </w:p>
    <w:p w:rsidR="003F01B6" w:rsidRPr="003F01B6" w:rsidRDefault="003F01B6" w:rsidP="00F654EF">
      <w:pPr>
        <w:spacing w:after="120" w:line="360" w:lineRule="auto"/>
        <w:ind w:left="720"/>
        <w:jc w:val="both"/>
        <w:rPr>
          <w:rFonts w:ascii="Arial" w:hAnsi="Arial"/>
          <w:noProof w:val="0"/>
          <w:rtl/>
        </w:rPr>
      </w:pPr>
      <w:r w:rsidRPr="003F01B6">
        <w:rPr>
          <w:rFonts w:ascii="Arial" w:hAnsi="Arial"/>
          <w:noProof w:val="0"/>
          <w:rtl/>
        </w:rPr>
        <w:t xml:space="preserve">הבורר קבע כי </w:t>
      </w:r>
      <w:r w:rsidRPr="003F01B6">
        <w:rPr>
          <w:rFonts w:ascii="Arial" w:hAnsi="Arial"/>
          <w:b/>
          <w:bCs/>
          <w:noProof w:val="0"/>
          <w:rtl/>
        </w:rPr>
        <w:t>"</w:t>
      </w:r>
      <w:r w:rsidR="00F654EF">
        <w:rPr>
          <w:rFonts w:ascii="Arial" w:hAnsi="Arial" w:hint="cs"/>
          <w:b/>
          <w:bCs/>
          <w:noProof w:val="0"/>
          <w:rtl/>
        </w:rPr>
        <w:t>-----</w:t>
      </w:r>
      <w:r w:rsidRPr="003F01B6">
        <w:rPr>
          <w:rFonts w:ascii="Arial" w:hAnsi="Arial"/>
          <w:b/>
          <w:bCs/>
          <w:noProof w:val="0"/>
          <w:rtl/>
        </w:rPr>
        <w:t xml:space="preserve"> כמי שהיה נאמן על התכשיטים נדרש כידה הארוכה של אמו לפעול למכירת התכשיטים במחיר שוק לפחות של קונה מרצון למוכר מרצון. לא מדובר ברכוש שלו, אלא ברכוש שהוא נאמן עליו"</w:t>
      </w:r>
      <w:r w:rsidRPr="003F01B6">
        <w:rPr>
          <w:rFonts w:ascii="Arial" w:hAnsi="Arial"/>
          <w:noProof w:val="0"/>
          <w:rtl/>
        </w:rPr>
        <w:t xml:space="preserve"> (סעיף 128). </w:t>
      </w:r>
    </w:p>
    <w:p w:rsidR="003F01B6" w:rsidRPr="003F01B6" w:rsidRDefault="003F01B6" w:rsidP="00CC73D5">
      <w:pPr>
        <w:spacing w:after="120" w:line="360" w:lineRule="auto"/>
        <w:ind w:left="720"/>
        <w:jc w:val="both"/>
        <w:rPr>
          <w:rFonts w:ascii="Arial" w:hAnsi="Arial"/>
          <w:noProof w:val="0"/>
          <w:rtl/>
        </w:rPr>
      </w:pPr>
      <w:r w:rsidRPr="003F01B6">
        <w:rPr>
          <w:rFonts w:ascii="Arial" w:hAnsi="Arial"/>
          <w:noProof w:val="0"/>
          <w:rtl/>
        </w:rPr>
        <w:t xml:space="preserve">ביום 11.5.2020 ניתן פסק דין על ידי כבוד השופט טל פפרני בתיקים ת"ב 8370-01-20 ות"ב 11770-02-20 המורה על אישור פסק הבוררות </w:t>
      </w:r>
      <w:r w:rsidRPr="003F01B6">
        <w:rPr>
          <w:rFonts w:ascii="Arial" w:hAnsi="Arial"/>
          <w:b/>
          <w:bCs/>
          <w:noProof w:val="0"/>
          <w:rtl/>
        </w:rPr>
        <w:t>("פסק הדין מיום 11.5.2020")</w:t>
      </w:r>
      <w:r w:rsidRPr="003F01B6">
        <w:rPr>
          <w:rFonts w:ascii="Arial" w:hAnsi="Arial"/>
          <w:noProof w:val="0"/>
          <w:rtl/>
        </w:rPr>
        <w:t xml:space="preserve">. בסעיף 2 לפסק הדין צוין כי התביעה שלעיל שנידונה בפסק הבוררות התבססה על פסק הבוררות הראשון מיום 7.3.2017 שאושר בבית המשפט ביום 12.9.2018.  </w:t>
      </w:r>
    </w:p>
    <w:p w:rsidR="00CC73D5" w:rsidRDefault="003F01B6" w:rsidP="00D339FC">
      <w:pPr>
        <w:numPr>
          <w:ilvl w:val="0"/>
          <w:numId w:val="1"/>
        </w:numPr>
        <w:spacing w:after="120" w:line="360" w:lineRule="auto"/>
        <w:ind w:hanging="720"/>
        <w:jc w:val="both"/>
        <w:rPr>
          <w:rFonts w:ascii="Arial" w:hAnsi="Arial"/>
          <w:noProof w:val="0"/>
        </w:rPr>
      </w:pPr>
      <w:r w:rsidRPr="003F01B6">
        <w:rPr>
          <w:rFonts w:ascii="Arial" w:hAnsi="Arial"/>
          <w:noProof w:val="0"/>
          <w:rtl/>
        </w:rPr>
        <w:t xml:space="preserve">לאחר מתן פסק הדין מיום 11.5.2020, ניתנה ביום 26.5.2020 בתיק ת"ב 11770-02-20 החלטה המורה לפנים משורת הדין על מתן ארכה לנתבע 1 להעביר את התכשיטים לידי הנתבע 2. </w:t>
      </w:r>
    </w:p>
    <w:p w:rsidR="00CC73D5" w:rsidRDefault="003F01B6" w:rsidP="00CC73D5">
      <w:pPr>
        <w:spacing w:after="120" w:line="360" w:lineRule="auto"/>
        <w:ind w:left="720"/>
        <w:jc w:val="both"/>
        <w:rPr>
          <w:rFonts w:ascii="Arial" w:hAnsi="Arial"/>
          <w:noProof w:val="0"/>
          <w:rtl/>
        </w:rPr>
      </w:pPr>
      <w:r w:rsidRPr="003F01B6">
        <w:rPr>
          <w:rFonts w:ascii="Arial" w:hAnsi="Arial"/>
          <w:noProof w:val="0"/>
          <w:rtl/>
        </w:rPr>
        <w:t xml:space="preserve">על החלטה זו הגיש הנתבע 2 בקשת רשות ערעור (רמ"ש 8290-06-20) </w:t>
      </w:r>
      <w:r w:rsidR="00CC73D5">
        <w:rPr>
          <w:rFonts w:ascii="Arial" w:hAnsi="Arial" w:hint="cs"/>
          <w:noProof w:val="0"/>
          <w:rtl/>
        </w:rPr>
        <w:t>אשר</w:t>
      </w:r>
      <w:r w:rsidRPr="003F01B6">
        <w:rPr>
          <w:rFonts w:ascii="Arial" w:hAnsi="Arial"/>
          <w:noProof w:val="0"/>
          <w:rtl/>
        </w:rPr>
        <w:t xml:space="preserve"> התקבל</w:t>
      </w:r>
      <w:r w:rsidR="00CC73D5">
        <w:rPr>
          <w:rFonts w:ascii="Arial" w:hAnsi="Arial" w:hint="cs"/>
          <w:noProof w:val="0"/>
          <w:rtl/>
        </w:rPr>
        <w:t>ה</w:t>
      </w:r>
      <w:r w:rsidRPr="003F01B6">
        <w:rPr>
          <w:rFonts w:ascii="Arial" w:hAnsi="Arial"/>
          <w:noProof w:val="0"/>
          <w:rtl/>
        </w:rPr>
        <w:t xml:space="preserve">. </w:t>
      </w:r>
    </w:p>
    <w:p w:rsidR="003F01B6" w:rsidRPr="003F01B6" w:rsidRDefault="003F01B6" w:rsidP="00F654EF">
      <w:pPr>
        <w:spacing w:after="120" w:line="360" w:lineRule="auto"/>
        <w:ind w:left="720"/>
        <w:jc w:val="both"/>
        <w:rPr>
          <w:rFonts w:ascii="Arial" w:hAnsi="Arial"/>
          <w:noProof w:val="0"/>
          <w:rtl/>
        </w:rPr>
      </w:pPr>
      <w:r w:rsidRPr="003F01B6">
        <w:rPr>
          <w:rFonts w:ascii="Arial" w:hAnsi="Arial"/>
          <w:noProof w:val="0"/>
          <w:rtl/>
        </w:rPr>
        <w:t xml:space="preserve">ביום 2.11.2020 ניתנה על ידי כבוד השופט טל פפרני בתיק ת"ב 11770-02-20 פסיקתא המורה, בין היתר, כי בתביעה הכספית בעניין התכשיטים על הנתבע 1 לשלם לנתבע 2 סך של 228,570 ₪. הפסיקתה </w:t>
      </w:r>
      <w:r w:rsidRPr="00CC73D5">
        <w:rPr>
          <w:rFonts w:ascii="Arial" w:hAnsi="Arial"/>
          <w:noProof w:val="0"/>
          <w:rtl/>
        </w:rPr>
        <w:t>התבססה</w:t>
      </w:r>
      <w:r w:rsidRPr="003F01B6">
        <w:rPr>
          <w:rFonts w:ascii="Arial" w:hAnsi="Arial"/>
          <w:noProof w:val="0"/>
          <w:rtl/>
        </w:rPr>
        <w:t xml:space="preserve"> על סעיף 77 א לפסק הבוררות</w:t>
      </w:r>
      <w:r w:rsidR="00CC73D5">
        <w:rPr>
          <w:rFonts w:ascii="Arial" w:hAnsi="Arial" w:hint="cs"/>
          <w:noProof w:val="0"/>
          <w:rtl/>
        </w:rPr>
        <w:t xml:space="preserve"> השני</w:t>
      </w:r>
      <w:r w:rsidRPr="003F01B6">
        <w:rPr>
          <w:rFonts w:ascii="Arial" w:hAnsi="Arial"/>
          <w:noProof w:val="0"/>
          <w:rtl/>
        </w:rPr>
        <w:t xml:space="preserve"> (עמ' 32 לפסק הבוררות) שקבע כי </w:t>
      </w:r>
      <w:r w:rsidRPr="003F01B6">
        <w:rPr>
          <w:rFonts w:ascii="Arial" w:hAnsi="Arial"/>
          <w:b/>
          <w:bCs/>
          <w:noProof w:val="0"/>
          <w:rtl/>
        </w:rPr>
        <w:t xml:space="preserve">"על </w:t>
      </w:r>
      <w:r w:rsidR="00F654EF">
        <w:rPr>
          <w:rFonts w:ascii="Arial" w:hAnsi="Arial" w:hint="cs"/>
          <w:b/>
          <w:bCs/>
          <w:noProof w:val="0"/>
          <w:rtl/>
        </w:rPr>
        <w:t>-----</w:t>
      </w:r>
      <w:r w:rsidRPr="003F01B6">
        <w:rPr>
          <w:rFonts w:ascii="Arial" w:hAnsi="Arial"/>
          <w:b/>
          <w:bCs/>
          <w:noProof w:val="0"/>
          <w:rtl/>
        </w:rPr>
        <w:t xml:space="preserve"> לשלם ל</w:t>
      </w:r>
      <w:r w:rsidR="00F654EF">
        <w:rPr>
          <w:rFonts w:ascii="Arial" w:hAnsi="Arial" w:hint="cs"/>
          <w:b/>
          <w:bCs/>
          <w:noProof w:val="0"/>
          <w:rtl/>
        </w:rPr>
        <w:t>------</w:t>
      </w:r>
      <w:r w:rsidRPr="003F01B6">
        <w:rPr>
          <w:rFonts w:ascii="Arial" w:hAnsi="Arial"/>
          <w:b/>
          <w:bCs/>
          <w:noProof w:val="0"/>
          <w:rtl/>
        </w:rPr>
        <w:t xml:space="preserve"> שווי של 1.5 ק"ג שווי תכשיטי זהב לפי מחיר של 152.38 ₪ לגר' זהב, סה"כ 228,570 ₪"</w:t>
      </w:r>
      <w:r w:rsidRPr="003F01B6">
        <w:rPr>
          <w:rFonts w:ascii="Arial" w:hAnsi="Arial"/>
          <w:noProof w:val="0"/>
          <w:rtl/>
        </w:rPr>
        <w:t xml:space="preserve">. </w:t>
      </w:r>
    </w:p>
    <w:p w:rsidR="003F01B6" w:rsidRPr="003F01B6" w:rsidRDefault="003F01B6" w:rsidP="00D339FC">
      <w:pPr>
        <w:numPr>
          <w:ilvl w:val="0"/>
          <w:numId w:val="1"/>
        </w:numPr>
        <w:spacing w:after="120" w:line="360" w:lineRule="auto"/>
        <w:ind w:hanging="720"/>
        <w:jc w:val="both"/>
        <w:rPr>
          <w:rFonts w:ascii="Arial" w:hAnsi="Arial"/>
          <w:noProof w:val="0"/>
        </w:rPr>
      </w:pPr>
      <w:r w:rsidRPr="003F01B6">
        <w:rPr>
          <w:rFonts w:ascii="Arial" w:hAnsi="Arial"/>
          <w:noProof w:val="0"/>
          <w:rtl/>
        </w:rPr>
        <w:t>בתביעה שלפניי התובע עותר</w:t>
      </w:r>
      <w:r w:rsidR="00CC73D5">
        <w:rPr>
          <w:rFonts w:ascii="Arial" w:hAnsi="Arial" w:hint="cs"/>
          <w:noProof w:val="0"/>
          <w:rtl/>
        </w:rPr>
        <w:t>, בין היתר,</w:t>
      </w:r>
      <w:r w:rsidRPr="003F01B6">
        <w:rPr>
          <w:rFonts w:ascii="Arial" w:hAnsi="Arial"/>
          <w:noProof w:val="0"/>
          <w:rtl/>
        </w:rPr>
        <w:t xml:space="preserve"> לביטול חלקי של פסק הבוררות השני ושל פסק הדין מיום 11.5.2020, בעניין התכשיטים וה</w:t>
      </w:r>
      <w:r w:rsidR="00CC73D5">
        <w:rPr>
          <w:rFonts w:ascii="Arial" w:hAnsi="Arial"/>
          <w:noProof w:val="0"/>
          <w:rtl/>
        </w:rPr>
        <w:t xml:space="preserve">זהב, בכדי שזכויותיו לא ייפגעו. </w:t>
      </w:r>
      <w:r w:rsidRPr="003F01B6">
        <w:rPr>
          <w:rFonts w:ascii="Arial" w:hAnsi="Arial"/>
          <w:noProof w:val="0"/>
          <w:rtl/>
        </w:rPr>
        <w:t xml:space="preserve">לטענתו, הצדדים, למעט הנתבע 1 והנתבע 2, הם בעלי זכויות בתכשיטים שלא היו בעלי דין בהליך הבוררות ובתביעה שאישרה את פסק הבוררות, הם לא זומנו להליכים ופסק הבוררות ופסק הדין המאשר אותו ניתנו מבלי שניתנה להם אפשרות להשמיע טענותיהם לעניין התכשיטים. </w:t>
      </w:r>
    </w:p>
    <w:p w:rsidR="003F01B6" w:rsidRPr="003F01B6" w:rsidRDefault="003F01B6" w:rsidP="00D339FC">
      <w:pPr>
        <w:numPr>
          <w:ilvl w:val="0"/>
          <w:numId w:val="1"/>
        </w:numPr>
        <w:spacing w:after="120" w:line="360" w:lineRule="auto"/>
        <w:ind w:hanging="720"/>
        <w:jc w:val="both"/>
        <w:rPr>
          <w:rFonts w:ascii="Arial" w:hAnsi="Arial"/>
          <w:noProof w:val="0"/>
          <w:rtl/>
        </w:rPr>
      </w:pPr>
      <w:r w:rsidRPr="003F01B6">
        <w:rPr>
          <w:rFonts w:ascii="Arial" w:hAnsi="Arial"/>
          <w:noProof w:val="0"/>
          <w:rtl/>
        </w:rPr>
        <w:t xml:space="preserve">בין הצדדים מתנהל הליך נוסף תמ"ש 41867-04-21. ביום 2.1.2023 ניתנה התראה מחמת חוסר מעש. </w:t>
      </w:r>
    </w:p>
    <w:p w:rsidR="003F01B6" w:rsidRPr="003F01B6" w:rsidRDefault="003F01B6" w:rsidP="00D339FC">
      <w:pPr>
        <w:spacing w:after="120" w:line="360" w:lineRule="auto"/>
        <w:ind w:hanging="720"/>
        <w:jc w:val="both"/>
        <w:rPr>
          <w:rFonts w:ascii="Arial" w:hAnsi="Arial"/>
          <w:noProof w:val="0"/>
          <w:rtl/>
        </w:rPr>
      </w:pPr>
    </w:p>
    <w:p w:rsidR="003F01B6" w:rsidRPr="003F01B6" w:rsidRDefault="003F01B6" w:rsidP="00D339FC">
      <w:pPr>
        <w:numPr>
          <w:ilvl w:val="0"/>
          <w:numId w:val="1"/>
        </w:numPr>
        <w:spacing w:after="120" w:line="360" w:lineRule="auto"/>
        <w:ind w:hanging="720"/>
        <w:jc w:val="both"/>
        <w:rPr>
          <w:rFonts w:ascii="Arial" w:hAnsi="Arial"/>
          <w:noProof w:val="0"/>
        </w:rPr>
      </w:pPr>
      <w:r w:rsidRPr="003F01B6">
        <w:rPr>
          <w:rFonts w:ascii="Arial" w:hAnsi="Arial"/>
          <w:noProof w:val="0"/>
          <w:rtl/>
        </w:rPr>
        <w:lastRenderedPageBreak/>
        <w:t xml:space="preserve">כתבי הגנה הוגשו מטעם הנתבעים 1,2,3. ביום 26.9.2021 הגיש הנתבע </w:t>
      </w:r>
      <w:r w:rsidRPr="00CC73D5">
        <w:rPr>
          <w:rFonts w:ascii="Arial" w:hAnsi="Arial"/>
          <w:noProof w:val="0"/>
          <w:rtl/>
        </w:rPr>
        <w:t>1 הודעת צד ג'</w:t>
      </w:r>
      <w:r w:rsidRPr="003F01B6">
        <w:rPr>
          <w:rFonts w:ascii="Arial" w:hAnsi="Arial"/>
          <w:noProof w:val="0"/>
          <w:rtl/>
        </w:rPr>
        <w:t xml:space="preserve"> כנגד הנתבע 2 לחיוב כספי עבור כספים ששילם לידיו לפי פסק הבוררות ופסק הדין. ביום 25.10.2021 הגיש התובע אישורי מסירה של כתב התביעה לנתבעים 4-12, וכן צורפה הודעה של המשיבה 13 לפיה היא מסכימה לתביעה ומבקשת שהזהב והתכשיטים של ההורים יחזרו לאחים. </w:t>
      </w:r>
    </w:p>
    <w:p w:rsidR="0067339D" w:rsidRDefault="003F01B6" w:rsidP="00D339FC">
      <w:pPr>
        <w:numPr>
          <w:ilvl w:val="0"/>
          <w:numId w:val="1"/>
        </w:numPr>
        <w:spacing w:after="120" w:line="360" w:lineRule="auto"/>
        <w:ind w:hanging="720"/>
        <w:jc w:val="both"/>
        <w:rPr>
          <w:rFonts w:ascii="Arial" w:hAnsi="Arial"/>
          <w:noProof w:val="0"/>
        </w:rPr>
      </w:pPr>
      <w:r w:rsidRPr="003F01B6">
        <w:rPr>
          <w:rFonts w:ascii="Arial" w:hAnsi="Arial"/>
          <w:noProof w:val="0"/>
          <w:rtl/>
        </w:rPr>
        <w:t>ביום 16.11.2021 התקיים קדם משפט בנוכחות התובע, הנתבע 1 והנתבעים 11-12, וכן בנוכחות באי הכוח של הצדדים הבאים: הנתבעת 3, התובע, הנתבע 1, ה</w:t>
      </w:r>
      <w:r w:rsidR="0067339D">
        <w:rPr>
          <w:rFonts w:ascii="Arial" w:hAnsi="Arial"/>
          <w:noProof w:val="0"/>
          <w:rtl/>
        </w:rPr>
        <w:t>נתבע 2 והנתבע 12 (עמ' 1, ש' 15)</w:t>
      </w:r>
      <w:r w:rsidRPr="003F01B6">
        <w:rPr>
          <w:rFonts w:ascii="Arial" w:hAnsi="Arial"/>
          <w:noProof w:val="0"/>
          <w:rtl/>
        </w:rPr>
        <w:t xml:space="preserve">. יתר הנתבעים לא הופיעו לדיון.  </w:t>
      </w:r>
    </w:p>
    <w:p w:rsidR="0067339D" w:rsidRDefault="003F01B6" w:rsidP="0067339D">
      <w:pPr>
        <w:spacing w:after="120" w:line="360" w:lineRule="auto"/>
        <w:ind w:left="720"/>
        <w:jc w:val="both"/>
        <w:rPr>
          <w:rFonts w:ascii="Arial" w:hAnsi="Arial"/>
          <w:noProof w:val="0"/>
          <w:rtl/>
        </w:rPr>
      </w:pPr>
      <w:r w:rsidRPr="003F01B6">
        <w:rPr>
          <w:rFonts w:ascii="Arial" w:hAnsi="Arial"/>
          <w:noProof w:val="0"/>
          <w:rtl/>
        </w:rPr>
        <w:t xml:space="preserve">ב"כ הצדדים הגיעו להסדר דיוני לפיו פסק הדין יינתן על יסוד החומר המצוי בתיק וסיכומי הצדדים (עמ' 7, ש' 2). התובע הציג אישור מסירה של ההחלטה מיום 21.11.2021 המורה על הגשת סיכומים, לנתבעים 4-13, ולמעט נתבע 12, שצוין כי הוא מיוצג על יד ב"כ הנתבע 2. </w:t>
      </w:r>
    </w:p>
    <w:p w:rsidR="003F01B6" w:rsidRPr="003F01B6" w:rsidRDefault="003F01B6" w:rsidP="0067339D">
      <w:pPr>
        <w:spacing w:after="120" w:line="360" w:lineRule="auto"/>
        <w:ind w:left="720"/>
        <w:jc w:val="both"/>
        <w:rPr>
          <w:rFonts w:ascii="Arial" w:hAnsi="Arial"/>
          <w:noProof w:val="0"/>
          <w:rtl/>
        </w:rPr>
      </w:pPr>
      <w:r w:rsidRPr="003F01B6">
        <w:rPr>
          <w:rFonts w:ascii="Arial" w:hAnsi="Arial"/>
          <w:noProof w:val="0"/>
          <w:rtl/>
        </w:rPr>
        <w:t>הוגשו סיכומים מטעם התובע, הנתבע 1, הנתבע 2 והנתבעת 3.</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תמצית טענות התובע</w:t>
      </w:r>
    </w:p>
    <w:p w:rsidR="0067339D" w:rsidRDefault="003F01B6" w:rsidP="0067339D">
      <w:pPr>
        <w:numPr>
          <w:ilvl w:val="0"/>
          <w:numId w:val="1"/>
        </w:numPr>
        <w:spacing w:after="120" w:line="360" w:lineRule="auto"/>
        <w:ind w:hanging="720"/>
        <w:jc w:val="both"/>
        <w:rPr>
          <w:rFonts w:ascii="Arial" w:hAnsi="Arial"/>
          <w:noProof w:val="0"/>
        </w:rPr>
      </w:pPr>
      <w:r w:rsidRPr="003F01B6">
        <w:rPr>
          <w:rFonts w:ascii="Arial" w:hAnsi="Arial"/>
          <w:noProof w:val="0"/>
          <w:rtl/>
        </w:rPr>
        <w:t xml:space="preserve">ההורים צברו נכסים במהלך חייהם הכוללים בית מגורים, כספים ותכשיטים. האב המנוח מסר </w:t>
      </w:r>
      <w:r w:rsidR="0067339D">
        <w:rPr>
          <w:rFonts w:ascii="Arial" w:hAnsi="Arial"/>
          <w:noProof w:val="0"/>
          <w:rtl/>
        </w:rPr>
        <w:t>את התכשיטים למשמורת אצל הנתבע 2</w:t>
      </w:r>
      <w:r w:rsidRPr="003F01B6">
        <w:rPr>
          <w:rFonts w:ascii="Arial" w:hAnsi="Arial"/>
          <w:noProof w:val="0"/>
          <w:rtl/>
        </w:rPr>
        <w:t xml:space="preserve">. בין הנתבע 1 לבין הנתבע 2 התנהל הליך בוררות בעניין עסקי שבמסגרתו ניתן פסק בורר ביום 18.12.2019 הקובע זכויות בעניין התכשיטים. </w:t>
      </w:r>
    </w:p>
    <w:p w:rsidR="003F01B6" w:rsidRPr="003F01B6" w:rsidRDefault="003F01B6" w:rsidP="0067339D">
      <w:pPr>
        <w:spacing w:after="120" w:line="360" w:lineRule="auto"/>
        <w:ind w:left="720"/>
        <w:jc w:val="both"/>
        <w:rPr>
          <w:rFonts w:ascii="Arial" w:hAnsi="Arial"/>
          <w:noProof w:val="0"/>
          <w:rtl/>
        </w:rPr>
      </w:pPr>
      <w:r w:rsidRPr="003F01B6">
        <w:rPr>
          <w:rFonts w:ascii="Arial" w:hAnsi="Arial"/>
          <w:noProof w:val="0"/>
          <w:rtl/>
        </w:rPr>
        <w:t xml:space="preserve">ביום 11.5.2020 ניתן פסק דין המאשר את פסק הבורר בתיק ת"ב 11770-02-20. </w:t>
      </w:r>
    </w:p>
    <w:p w:rsidR="003F01B6" w:rsidRPr="003F01B6" w:rsidRDefault="003F01B6" w:rsidP="0067339D">
      <w:pPr>
        <w:numPr>
          <w:ilvl w:val="0"/>
          <w:numId w:val="1"/>
        </w:numPr>
        <w:spacing w:after="120" w:line="360" w:lineRule="auto"/>
        <w:ind w:hanging="720"/>
        <w:jc w:val="both"/>
        <w:rPr>
          <w:rFonts w:ascii="Arial" w:hAnsi="Arial"/>
          <w:noProof w:val="0"/>
        </w:rPr>
      </w:pPr>
      <w:r w:rsidRPr="003F01B6">
        <w:rPr>
          <w:rFonts w:ascii="Arial" w:hAnsi="Arial"/>
          <w:noProof w:val="0"/>
          <w:rtl/>
        </w:rPr>
        <w:t xml:space="preserve">במסגרת הליך הבוררות הבורר הכריע שלא בסמכות בעניינים שחורגים מעניינם של בעלי הדין שלפניו, ודן </w:t>
      </w:r>
      <w:r w:rsidR="0067339D">
        <w:rPr>
          <w:rFonts w:ascii="Arial" w:hAnsi="Arial"/>
          <w:noProof w:val="0"/>
          <w:rtl/>
        </w:rPr>
        <w:t>בעניינים הנוגעים לנכסי העיזבון.</w:t>
      </w:r>
      <w:r w:rsidR="0067339D">
        <w:rPr>
          <w:rFonts w:ascii="Arial" w:hAnsi="Arial" w:hint="cs"/>
          <w:noProof w:val="0"/>
          <w:rtl/>
        </w:rPr>
        <w:t xml:space="preserve"> </w:t>
      </w:r>
      <w:r w:rsidRPr="003F01B6">
        <w:rPr>
          <w:rFonts w:ascii="Arial" w:hAnsi="Arial"/>
          <w:noProof w:val="0"/>
          <w:rtl/>
        </w:rPr>
        <w:t>הבורר דן והכריע בסוגיית היקף התכשיטים, משקלם, איכותם ושווים, מבלי ששמע את טענות התובע ואת טענותיהם של כל בעלי הזכויות בתכשיטים. הבורר דן והריע בסוגיית החזקת התכשיטים בניגוד להוראות חוק המיטלטלין, התשל"א</w:t>
      </w:r>
      <w:r w:rsidR="0067339D">
        <w:rPr>
          <w:rFonts w:ascii="Arial" w:hAnsi="Arial" w:hint="cs"/>
          <w:noProof w:val="0"/>
          <w:rtl/>
        </w:rPr>
        <w:t xml:space="preserve"> </w:t>
      </w:r>
      <w:r w:rsidR="0067339D">
        <w:rPr>
          <w:rFonts w:ascii="Arial" w:hAnsi="Arial"/>
          <w:noProof w:val="0"/>
          <w:rtl/>
        </w:rPr>
        <w:t>–</w:t>
      </w:r>
      <w:r w:rsidRPr="003F01B6">
        <w:rPr>
          <w:rFonts w:ascii="Arial" w:hAnsi="Arial"/>
          <w:noProof w:val="0"/>
          <w:rtl/>
        </w:rPr>
        <w:t xml:space="preserve"> 1971</w:t>
      </w:r>
      <w:r w:rsidR="0067339D">
        <w:rPr>
          <w:rFonts w:ascii="Arial" w:hAnsi="Arial" w:hint="cs"/>
          <w:noProof w:val="0"/>
          <w:rtl/>
        </w:rPr>
        <w:t xml:space="preserve"> (</w:t>
      </w:r>
      <w:r w:rsidR="0067339D">
        <w:rPr>
          <w:rFonts w:ascii="Arial" w:hAnsi="Arial" w:hint="cs"/>
          <w:b/>
          <w:bCs/>
          <w:noProof w:val="0"/>
          <w:rtl/>
        </w:rPr>
        <w:t>"חוק המטלטלין"</w:t>
      </w:r>
      <w:r w:rsidR="0067339D">
        <w:rPr>
          <w:rFonts w:ascii="Arial" w:hAnsi="Arial" w:hint="cs"/>
          <w:noProof w:val="0"/>
          <w:rtl/>
        </w:rPr>
        <w:t>)</w:t>
      </w:r>
      <w:r w:rsidRPr="003F01B6">
        <w:rPr>
          <w:rFonts w:ascii="Arial" w:hAnsi="Arial"/>
          <w:noProof w:val="0"/>
          <w:rtl/>
        </w:rPr>
        <w:t>. בהתאם לסעיף 10 לחוק המיטלטלין, אם אין הסכם בין השותפים של התכשיטים ומאחר שהבורר לא קיבל הסמכה מכל השותפים לפירוק השותפות ביניהם, הסמכות לפירוק השיתוף קנויה לבית המשפט.</w:t>
      </w:r>
    </w:p>
    <w:p w:rsidR="003F01B6" w:rsidRPr="003F01B6" w:rsidRDefault="003F01B6" w:rsidP="0067339D">
      <w:pPr>
        <w:numPr>
          <w:ilvl w:val="0"/>
          <w:numId w:val="1"/>
        </w:numPr>
        <w:spacing w:after="120" w:line="360" w:lineRule="auto"/>
        <w:ind w:hanging="720"/>
        <w:jc w:val="both"/>
        <w:rPr>
          <w:rFonts w:ascii="Arial" w:hAnsi="Arial"/>
          <w:noProof w:val="0"/>
        </w:rPr>
      </w:pPr>
      <w:r w:rsidRPr="003F01B6">
        <w:rPr>
          <w:rFonts w:ascii="Arial" w:hAnsi="Arial" w:hint="cs"/>
          <w:noProof w:val="0"/>
          <w:rtl/>
        </w:rPr>
        <w:t xml:space="preserve">לתובע ולנתבעים 3-13 יש זכויות בתכשיטים והם לא היו בעלי דין בהליך הבוררות ובערעור על פסק הבוררות, והם לא זומנו להיות צד בהליכים אלה. פסק הבוררות ופסק הדין ניתנו מבלי שניתנה לתובע ולנתבעים 3-13 אפשרות להשמיע טענותיהם בעניין התכשיטים. פסק הדין פגע בזכויותיהם של התובע והנתבעים 3-13 בעניין התכשיטים וגרם בעניין זה לעיוות דין. בהתאם לעקרונות הצדק הטבעי והדין, הקביעות לעניין התכשיטים בפסק הבוררות ובפסק הדין בטלות, מאחר שבעלי זכויות בתכשיטים לא היו צד להליך.  הבורר מחויב ל"כללי </w:t>
      </w:r>
      <w:r w:rsidRPr="003F01B6">
        <w:rPr>
          <w:rFonts w:ascii="Arial" w:hAnsi="Arial" w:hint="cs"/>
          <w:noProof w:val="0"/>
          <w:rtl/>
        </w:rPr>
        <w:lastRenderedPageBreak/>
        <w:t xml:space="preserve">הצדק הטבעי". לכל אדם עומדת זכות לדרוש ביטול פסק דין הפוגע בו, אם לא היה בעל דין בדיון. </w:t>
      </w:r>
    </w:p>
    <w:p w:rsidR="003F01B6" w:rsidRPr="003F01B6" w:rsidRDefault="003F01B6" w:rsidP="0067339D">
      <w:pPr>
        <w:numPr>
          <w:ilvl w:val="0"/>
          <w:numId w:val="1"/>
        </w:numPr>
        <w:spacing w:after="120" w:line="360" w:lineRule="auto"/>
        <w:ind w:hanging="720"/>
        <w:jc w:val="both"/>
        <w:rPr>
          <w:rFonts w:ascii="Arial" w:hAnsi="Arial"/>
          <w:noProof w:val="0"/>
        </w:rPr>
      </w:pPr>
      <w:r w:rsidRPr="003F01B6">
        <w:rPr>
          <w:rFonts w:ascii="Arial" w:hAnsi="Arial"/>
          <w:noProof w:val="0"/>
          <w:rtl/>
        </w:rPr>
        <w:t xml:space="preserve">ביום 17.2.2021 נודע לתובע לראשונה על פסק הבוררות ופסק הדין. התובע עותר בבקשה לבטל את פסק הבוררות השני ופסק הדין המאשר אותו בעניין התכשיטים, בכדי שזכויותיו לא תפגענה. התובע עותר בבקשה למנות מנהל עיזבון אשר התכשיטים יעברו לידיו ועד למינוי יופקדו התכשיטים במזכירות בית המשפט; עד להכרעה סופית בהליך יעוכב ביצועם של פסק הבוררות ופסק הדין בעניין התכשיטים וההליכים שננקטו מכוחם; לאסור על הנתבע 1 להוציא את התכשיטים מידיו ולהורות כי יפקידם לאלתר במזכירות בית המשפט. </w:t>
      </w:r>
    </w:p>
    <w:p w:rsidR="003F01B6" w:rsidRPr="003F01B6" w:rsidRDefault="003F01B6" w:rsidP="0067339D">
      <w:pPr>
        <w:numPr>
          <w:ilvl w:val="0"/>
          <w:numId w:val="1"/>
        </w:numPr>
        <w:spacing w:after="120" w:line="360" w:lineRule="auto"/>
        <w:ind w:hanging="720"/>
        <w:jc w:val="both"/>
        <w:rPr>
          <w:rFonts w:ascii="Arial" w:hAnsi="Arial"/>
          <w:noProof w:val="0"/>
          <w:rtl/>
        </w:rPr>
      </w:pPr>
      <w:r w:rsidRPr="003F01B6">
        <w:rPr>
          <w:rFonts w:ascii="Arial" w:hAnsi="Arial"/>
          <w:noProof w:val="0"/>
          <w:rtl/>
        </w:rPr>
        <w:t xml:space="preserve">הנתבע 2 ניסה להשתלט על נכסי עיזבון המנוח לאחר פטירתו, אך לא הצליח. חלקו של הנתבע 2 בצו הירושה זהה לחלקם של יתר האחים, כלומר חלקו של הנתבע 2 בשווי התכשיטים הוא פחות מ-2%, שכן חלקה של האם בתכשיטים הוא 75% (מחצית מכלל התכשיטים שנצברו בחיים המשותפים של בני הזוג ומחצית מחלקו של המנוח כיורשת עיזבון). לא ברור כיצד פסק הבורר שהנתבע 1 ישלם לנתבע 2 עבור תמורת כל התכשיטים למי שיש בידו פחות מ-2% משווי הזכויות בתכשיטים. הנתבע 2 סחר בתכשיטים ללא הסכמת יתר היורשים, והעדיף לקבל לידיו סכום כסף שהבורר קבע כשווים של התכשיטים במקום קבלתם לחזקתו לצורך המשך שמירתם עבור היורשים. הנתבע 2 שלל מיתר היורשים זכות לחלוקת התכשיטים בעין, תוך התעלמות מכך שלחלק מהיורשים יש ערך רגשי לתכשיטים. הנתבע 2 או הנתבע 1 לא מונו כמנהלי עיזבון, לא מונו כאפוטרופוסים לאימם ולא קיבלו ייפוי כוח מהאם </w:t>
      </w:r>
      <w:r w:rsidR="0067339D">
        <w:rPr>
          <w:rFonts w:ascii="Arial" w:hAnsi="Arial" w:hint="cs"/>
          <w:noProof w:val="0"/>
          <w:rtl/>
        </w:rPr>
        <w:t xml:space="preserve">המנוחה </w:t>
      </w:r>
      <w:r w:rsidRPr="003F01B6">
        <w:rPr>
          <w:rFonts w:ascii="Arial" w:hAnsi="Arial"/>
          <w:noProof w:val="0"/>
          <w:rtl/>
        </w:rPr>
        <w:t xml:space="preserve">או מהאפוטרופוס שמונה לה או מהתובע או מהנתבעים 4-13 (לידיעת התובע), לעניין מכירת זכויותיהם בתכשיטים או קבלת החזקה בתכשיטים במקומם או בעניין קביעת איכותם או שווים בכל הליך שהוא. </w:t>
      </w:r>
    </w:p>
    <w:p w:rsidR="003F01B6" w:rsidRPr="003F01B6" w:rsidRDefault="003F01B6" w:rsidP="0067339D">
      <w:pPr>
        <w:numPr>
          <w:ilvl w:val="0"/>
          <w:numId w:val="1"/>
        </w:numPr>
        <w:spacing w:after="120" w:line="360" w:lineRule="auto"/>
        <w:ind w:hanging="720"/>
        <w:jc w:val="both"/>
        <w:rPr>
          <w:rFonts w:ascii="Arial" w:hAnsi="Arial"/>
          <w:noProof w:val="0"/>
          <w:rtl/>
        </w:rPr>
      </w:pPr>
      <w:r w:rsidRPr="003F01B6">
        <w:rPr>
          <w:rFonts w:ascii="Arial" w:hAnsi="Arial"/>
          <w:noProof w:val="0"/>
          <w:rtl/>
        </w:rPr>
        <w:t xml:space="preserve">לטענת התובע, גישתו של הנתבע 2 היא שאם הנתבע 1 היה משיב את התכשיטים, אז מחציתם היו בבעלות האם ומחציתם שייכים לעיזבון, אך מאחר שהנתבע 1 שילם את שווי התכשיטים חלף השבת התכשיטים, אז הכספים אינם שייכים לאם </w:t>
      </w:r>
      <w:r w:rsidR="0067339D">
        <w:rPr>
          <w:rFonts w:ascii="Arial" w:hAnsi="Arial" w:hint="cs"/>
          <w:noProof w:val="0"/>
          <w:rtl/>
        </w:rPr>
        <w:t xml:space="preserve">המנוחה </w:t>
      </w:r>
      <w:r w:rsidRPr="003F01B6">
        <w:rPr>
          <w:rFonts w:ascii="Arial" w:hAnsi="Arial"/>
          <w:noProof w:val="0"/>
          <w:rtl/>
        </w:rPr>
        <w:t xml:space="preserve">ולעיזבון אלא אך לנתבע 2. </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 xml:space="preserve">תמצית טענות הנתבע 1 </w:t>
      </w:r>
    </w:p>
    <w:p w:rsidR="003F01B6" w:rsidRPr="003F01B6" w:rsidRDefault="003F01B6" w:rsidP="00AF595C">
      <w:pPr>
        <w:numPr>
          <w:ilvl w:val="0"/>
          <w:numId w:val="2"/>
        </w:numPr>
        <w:spacing w:after="120" w:line="360" w:lineRule="auto"/>
        <w:ind w:left="708" w:hanging="708"/>
        <w:jc w:val="both"/>
        <w:rPr>
          <w:rFonts w:ascii="Arial" w:hAnsi="Arial"/>
          <w:noProof w:val="0"/>
          <w:rtl/>
        </w:rPr>
      </w:pPr>
      <w:r w:rsidRPr="003F01B6">
        <w:rPr>
          <w:rFonts w:ascii="Arial" w:hAnsi="Arial"/>
          <w:noProof w:val="0"/>
          <w:rtl/>
        </w:rPr>
        <w:t xml:space="preserve">הנתבע 1 והנתבע 2 ניהלו ביניהם הליך משפטי בפני בורר שבסופו ועל יסוד מסמך שנשא את חתימתו של הנתבע ונתבעים נוספים, חויב הנתבע 1 להעביר את התכשיטים והזהב שהיו בחזקתו לידי נתבע 2. פסק הבוררות אושר בפסק דין מיום 12.9.2018 והפך חלוט. </w:t>
      </w:r>
    </w:p>
    <w:p w:rsidR="00AF595C" w:rsidRDefault="003F01B6" w:rsidP="00AF595C">
      <w:pPr>
        <w:spacing w:after="120" w:line="360" w:lineRule="auto"/>
        <w:ind w:left="708"/>
        <w:jc w:val="both"/>
        <w:rPr>
          <w:rFonts w:ascii="Arial" w:hAnsi="Arial"/>
          <w:noProof w:val="0"/>
          <w:rtl/>
        </w:rPr>
      </w:pPr>
      <w:r w:rsidRPr="003F01B6">
        <w:rPr>
          <w:rFonts w:ascii="Arial" w:hAnsi="Arial"/>
          <w:noProof w:val="0"/>
          <w:rtl/>
        </w:rPr>
        <w:t xml:space="preserve">בתחילת שנת 2016, לפני שניתן פסק הבוררות הראשון, הנתבע 1 מכר את התכשיטים והזהב לידי צד ג', לצורך מימון צרכי המחיה של האם, לאחר שהנתבע 2 חדל מלעשות כן. בנסיבות אלו, הנתבע 1 לא יכול היה לקיים את החיוב שנקבע בפסק הבוררות הראשון ושאושר בפסק הדין מיום 12.9.2018. לפיכך, למרות שבפסק הדין החלוט נקבע חיוב של השבה, הנתבע 2 </w:t>
      </w:r>
      <w:r w:rsidRPr="003F01B6">
        <w:rPr>
          <w:rFonts w:ascii="Arial" w:hAnsi="Arial"/>
          <w:noProof w:val="0"/>
          <w:rtl/>
        </w:rPr>
        <w:lastRenderedPageBreak/>
        <w:t xml:space="preserve">הגיש נגד הנתבע 1 תביעה כספית בסכום של כ-381,000 </w:t>
      </w:r>
      <w:r w:rsidR="00AF595C">
        <w:rPr>
          <w:rFonts w:ascii="Arial" w:hAnsi="Arial" w:hint="cs"/>
          <w:noProof w:val="0"/>
          <w:rtl/>
        </w:rPr>
        <w:t>ש"ח</w:t>
      </w:r>
      <w:r w:rsidRPr="003F01B6">
        <w:rPr>
          <w:rFonts w:ascii="Arial" w:hAnsi="Arial"/>
          <w:noProof w:val="0"/>
          <w:rtl/>
        </w:rPr>
        <w:t xml:space="preserve"> המבטא, לטענתו, את שווי התכשיטים והזהב. </w:t>
      </w:r>
    </w:p>
    <w:p w:rsidR="00AF595C" w:rsidRDefault="003F01B6" w:rsidP="00AF595C">
      <w:pPr>
        <w:spacing w:after="120" w:line="360" w:lineRule="auto"/>
        <w:ind w:left="708"/>
        <w:jc w:val="both"/>
        <w:rPr>
          <w:rFonts w:ascii="Arial" w:hAnsi="Arial"/>
          <w:noProof w:val="0"/>
          <w:rtl/>
        </w:rPr>
      </w:pPr>
      <w:r w:rsidRPr="003F01B6">
        <w:rPr>
          <w:rFonts w:ascii="Arial" w:hAnsi="Arial"/>
          <w:noProof w:val="0"/>
          <w:rtl/>
        </w:rPr>
        <w:t>במסגרת בירור התביעה בהליך הבו</w:t>
      </w:r>
      <w:r w:rsidR="00AF595C">
        <w:rPr>
          <w:rFonts w:ascii="Arial" w:hAnsi="Arial"/>
          <w:noProof w:val="0"/>
          <w:rtl/>
        </w:rPr>
        <w:t>ררות, הביא הנתבע 1 לחדר הדיונים</w:t>
      </w:r>
      <w:r w:rsidRPr="003F01B6">
        <w:rPr>
          <w:rFonts w:ascii="Arial" w:hAnsi="Arial"/>
          <w:noProof w:val="0"/>
          <w:rtl/>
        </w:rPr>
        <w:t xml:space="preserve"> את קופסת התכשיטים ובה תכולה התואמת את רשימת התכולה שערך המנוח בכתב ידו, התכשיטים והזהב הוצגו, הושוו לרשימה ונשקלו. אף שלא עלה בידי הנתבע 2 להוכיח את משקל הזהב או כמות התכשיטים, קבע הבורר כי היו בידי הנתבע 1 תכשיטים במשקל העולה על הודאת בעל הדין. </w:t>
      </w:r>
    </w:p>
    <w:p w:rsidR="003F01B6" w:rsidRPr="003F01B6" w:rsidRDefault="003F01B6" w:rsidP="00AF595C">
      <w:pPr>
        <w:spacing w:after="120" w:line="360" w:lineRule="auto"/>
        <w:ind w:left="708"/>
        <w:jc w:val="both"/>
        <w:rPr>
          <w:rFonts w:ascii="Arial" w:hAnsi="Arial"/>
          <w:noProof w:val="0"/>
        </w:rPr>
      </w:pPr>
      <w:r w:rsidRPr="003F01B6">
        <w:rPr>
          <w:rFonts w:ascii="Arial" w:hAnsi="Arial"/>
          <w:noProof w:val="0"/>
          <w:rtl/>
        </w:rPr>
        <w:t xml:space="preserve">הבורר הורה על חיוב כספי מותנה לפיו, אם הנתבע 1 יעביר לידי נתבע 2 את תכולת התכשיטים שהוצגה בהליך תוך תקופת זמן מוגבלת הוא ישלם לו סכום מסוים, אחרת יהיה עליו לשלם סכום גבוה יותר. </w:t>
      </w:r>
    </w:p>
    <w:p w:rsidR="003F01B6" w:rsidRPr="003F01B6" w:rsidRDefault="003F01B6" w:rsidP="00AF595C">
      <w:pPr>
        <w:spacing w:after="120" w:line="360" w:lineRule="auto"/>
        <w:ind w:left="708"/>
        <w:jc w:val="both"/>
        <w:rPr>
          <w:rFonts w:ascii="Arial" w:hAnsi="Arial"/>
          <w:noProof w:val="0"/>
          <w:rtl/>
        </w:rPr>
      </w:pPr>
      <w:r w:rsidRPr="003F01B6">
        <w:rPr>
          <w:rFonts w:ascii="Arial" w:hAnsi="Arial"/>
          <w:noProof w:val="0"/>
          <w:rtl/>
        </w:rPr>
        <w:t>בתום ההליכים המשפטיים, נקבע כי הנתבע 1 פספס את המועד להשבת התכשיטים ולתשלום סכום מופחת. בחודש 02/2021 פרע הנתבע 1את חובו בתיק הוצל"פ מספר 521968-12-20 שהנתבע 2 פתח כנגדו. לפיכך, הנתבע 1 רכש את מלו</w:t>
      </w:r>
      <w:r w:rsidR="00AF595C">
        <w:rPr>
          <w:rFonts w:ascii="Arial" w:hAnsi="Arial" w:hint="cs"/>
          <w:noProof w:val="0"/>
          <w:rtl/>
        </w:rPr>
        <w:t>א</w:t>
      </w:r>
      <w:r w:rsidRPr="003F01B6">
        <w:rPr>
          <w:rFonts w:ascii="Arial" w:hAnsi="Arial"/>
          <w:noProof w:val="0"/>
          <w:rtl/>
        </w:rPr>
        <w:t xml:space="preserve"> זכויות התובע ויתר הנתבעים בתכשיטים ובזהב, וזכותם בנכסים פקעה.</w:t>
      </w:r>
    </w:p>
    <w:p w:rsidR="003F01B6" w:rsidRPr="003F01B6" w:rsidRDefault="003F01B6" w:rsidP="00AF595C">
      <w:pPr>
        <w:numPr>
          <w:ilvl w:val="0"/>
          <w:numId w:val="2"/>
        </w:numPr>
        <w:spacing w:after="120" w:line="360" w:lineRule="auto"/>
        <w:ind w:left="708" w:hanging="708"/>
        <w:jc w:val="both"/>
        <w:rPr>
          <w:rFonts w:ascii="Arial" w:hAnsi="Arial"/>
          <w:noProof w:val="0"/>
          <w:rtl/>
        </w:rPr>
      </w:pPr>
      <w:r w:rsidRPr="003F01B6">
        <w:rPr>
          <w:rFonts w:ascii="Arial" w:hAnsi="Arial"/>
          <w:noProof w:val="0"/>
          <w:rtl/>
        </w:rPr>
        <w:t>בפסק הבוררות השני הנתבע 1 חויב לשלם לנתבע 2 סכום כסף בתמורה לתכשיטים, כלומר, תשלום שווי , ולא תשלום כנגד סנקציה בגין אי מילוי פסק הבוררות הראשון.</w:t>
      </w:r>
    </w:p>
    <w:p w:rsidR="003F01B6" w:rsidRPr="003F01B6" w:rsidRDefault="003F01B6" w:rsidP="00AF595C">
      <w:pPr>
        <w:numPr>
          <w:ilvl w:val="0"/>
          <w:numId w:val="2"/>
        </w:numPr>
        <w:spacing w:after="120" w:line="360" w:lineRule="auto"/>
        <w:ind w:left="708" w:hanging="708"/>
        <w:jc w:val="both"/>
        <w:rPr>
          <w:rFonts w:ascii="Arial" w:hAnsi="Arial"/>
          <w:noProof w:val="0"/>
        </w:rPr>
      </w:pPr>
      <w:r w:rsidRPr="003F01B6">
        <w:rPr>
          <w:rFonts w:ascii="Arial" w:hAnsi="Arial"/>
          <w:noProof w:val="0"/>
          <w:rtl/>
        </w:rPr>
        <w:t>הנתבע 1 נכון להעמיד את התכשיטים והזהב לזכותם של הבעלים, על פי צו הירושה, ולמסור אותם לידי מנהל העיזבון כשימונה, כנגד השבת הכספים ששולמו תמורתם.</w:t>
      </w:r>
    </w:p>
    <w:p w:rsidR="003F01B6" w:rsidRPr="003F01B6" w:rsidRDefault="003F01B6" w:rsidP="00AF595C">
      <w:pPr>
        <w:numPr>
          <w:ilvl w:val="0"/>
          <w:numId w:val="2"/>
        </w:numPr>
        <w:spacing w:after="120" w:line="360" w:lineRule="auto"/>
        <w:ind w:left="708" w:hanging="708"/>
        <w:jc w:val="both"/>
        <w:rPr>
          <w:rFonts w:ascii="Arial" w:hAnsi="Arial"/>
          <w:noProof w:val="0"/>
          <w:rtl/>
        </w:rPr>
      </w:pPr>
      <w:r w:rsidRPr="003F01B6">
        <w:rPr>
          <w:rFonts w:ascii="Arial" w:hAnsi="Arial"/>
          <w:noProof w:val="0"/>
          <w:rtl/>
        </w:rPr>
        <w:t>התביעה מוצדקת ובאה לתקן עיוות דין שנגרם בפסק הבוררות ובפסק הדין שאישר אותו, במסגרתם הופקעו נכסים מבעליהם. במסגרת הליך הבוררות נשמעו עדויותיהם של נתבעים 4, 10 ו-11 אך הבורר נמנע מלהזכיר לעדים שהתכשיטים והזהב נושא עדותם נמצאים בבעלותם, וכי במסגרת התביעה שעומדת להכרעה יכול וזכותם בנכסים תופקע.</w:t>
      </w:r>
    </w:p>
    <w:p w:rsidR="003F01B6" w:rsidRPr="003F01B6" w:rsidRDefault="003F01B6" w:rsidP="00AF595C">
      <w:pPr>
        <w:spacing w:after="120" w:line="360" w:lineRule="auto"/>
        <w:ind w:left="708"/>
        <w:jc w:val="both"/>
        <w:rPr>
          <w:rFonts w:ascii="Arial" w:hAnsi="Arial"/>
          <w:noProof w:val="0"/>
        </w:rPr>
      </w:pPr>
      <w:r w:rsidRPr="003F01B6">
        <w:rPr>
          <w:rFonts w:ascii="Arial" w:hAnsi="Arial"/>
          <w:noProof w:val="0"/>
          <w:rtl/>
        </w:rPr>
        <w:t xml:space="preserve">חלק מהעדויות התייחסו להבטחה של האם </w:t>
      </w:r>
      <w:r w:rsidR="00AF595C">
        <w:rPr>
          <w:rFonts w:ascii="Arial" w:hAnsi="Arial" w:hint="cs"/>
          <w:noProof w:val="0"/>
          <w:rtl/>
        </w:rPr>
        <w:t xml:space="preserve">המנוחה </w:t>
      </w:r>
      <w:r w:rsidRPr="003F01B6">
        <w:rPr>
          <w:rFonts w:ascii="Arial" w:hAnsi="Arial"/>
          <w:noProof w:val="0"/>
          <w:rtl/>
        </w:rPr>
        <w:t xml:space="preserve">למסור צמידים לנכדים הנושאים את שמה, כך שלא ניתן להמיר נכסים אלו לכסף. בנסיבות אלו, ההכרעה בטלה מעיקרה.  הבורר היה ער לכך שהכרעה בזכויות לא יכולה להיעשות אלא במסגרת הליך משפטי אליו יוזמן בעל הזכות  ולכל הפחות שתובא לידיעתו הנפקות לתוצאת ההליך, אך למרות זאת קבע את שווי הנכסים ואפשר לנתבע 2 לסחור בהם. </w:t>
      </w:r>
    </w:p>
    <w:p w:rsidR="003F01B6" w:rsidRPr="003F01B6" w:rsidRDefault="003F01B6" w:rsidP="00AF595C">
      <w:pPr>
        <w:numPr>
          <w:ilvl w:val="0"/>
          <w:numId w:val="2"/>
        </w:numPr>
        <w:spacing w:after="120" w:line="360" w:lineRule="auto"/>
        <w:ind w:left="708" w:hanging="708"/>
        <w:jc w:val="both"/>
        <w:rPr>
          <w:rFonts w:ascii="Arial" w:hAnsi="Arial"/>
          <w:noProof w:val="0"/>
          <w:rtl/>
        </w:rPr>
      </w:pPr>
      <w:r w:rsidRPr="003F01B6">
        <w:rPr>
          <w:rFonts w:ascii="Arial" w:hAnsi="Arial"/>
          <w:noProof w:val="0"/>
          <w:rtl/>
        </w:rPr>
        <w:t xml:space="preserve">ב"כ האם </w:t>
      </w:r>
      <w:r w:rsidR="00AF595C">
        <w:rPr>
          <w:rFonts w:ascii="Arial" w:hAnsi="Arial" w:hint="cs"/>
          <w:noProof w:val="0"/>
          <w:rtl/>
        </w:rPr>
        <w:t xml:space="preserve">המנוחה </w:t>
      </w:r>
      <w:r w:rsidRPr="003F01B6">
        <w:rPr>
          <w:rFonts w:ascii="Arial" w:hAnsi="Arial"/>
          <w:noProof w:val="0"/>
          <w:rtl/>
        </w:rPr>
        <w:t xml:space="preserve">מטעם האפוטרופוס עליה, אינו מייצג את האינטרסים שלה נאמנה, ולכן הנתבע 1 מתנגד למינויו כמנהל עיזבון המנוח. ב"כ הנתבע 1 העביר לעיונו של ב"כ האם </w:t>
      </w:r>
      <w:r w:rsidR="00AF595C">
        <w:rPr>
          <w:rFonts w:ascii="Arial" w:hAnsi="Arial" w:hint="cs"/>
          <w:noProof w:val="0"/>
          <w:rtl/>
        </w:rPr>
        <w:t xml:space="preserve">המנוחה </w:t>
      </w:r>
      <w:r w:rsidRPr="003F01B6">
        <w:rPr>
          <w:rFonts w:ascii="Arial" w:hAnsi="Arial"/>
          <w:noProof w:val="0"/>
          <w:rtl/>
        </w:rPr>
        <w:t xml:space="preserve">את פסק הבוררות השני בצירוף הודעה לפיה יש בידיו סכומי כסף משמעותיים </w:t>
      </w:r>
      <w:r w:rsidRPr="003F01B6">
        <w:rPr>
          <w:rFonts w:ascii="Arial" w:hAnsi="Arial"/>
          <w:noProof w:val="0"/>
          <w:rtl/>
        </w:rPr>
        <w:lastRenderedPageBreak/>
        <w:t>השייכים לאם</w:t>
      </w:r>
      <w:r w:rsidR="00AF595C">
        <w:rPr>
          <w:rFonts w:ascii="Arial" w:hAnsi="Arial" w:hint="cs"/>
          <w:noProof w:val="0"/>
          <w:rtl/>
        </w:rPr>
        <w:t xml:space="preserve"> המנוחה</w:t>
      </w:r>
      <w:r w:rsidRPr="003F01B6">
        <w:rPr>
          <w:rFonts w:ascii="Arial" w:hAnsi="Arial"/>
          <w:noProof w:val="0"/>
          <w:rtl/>
        </w:rPr>
        <w:t xml:space="preserve">, אך האפוטרופוס דחה את הפניה.  פנייה של ב"כ הנתבע 1 לב"כ היועמ"ש באפוטרופוס הכללי לא קיבלה מענה.  </w:t>
      </w:r>
    </w:p>
    <w:p w:rsidR="003F01B6" w:rsidRPr="00AF595C" w:rsidRDefault="003F01B6" w:rsidP="00AF595C">
      <w:pPr>
        <w:numPr>
          <w:ilvl w:val="0"/>
          <w:numId w:val="2"/>
        </w:numPr>
        <w:spacing w:after="120" w:line="360" w:lineRule="auto"/>
        <w:ind w:left="708" w:hanging="708"/>
        <w:jc w:val="both"/>
        <w:rPr>
          <w:rFonts w:ascii="Arial" w:hAnsi="Arial"/>
          <w:noProof w:val="0"/>
          <w:rtl/>
        </w:rPr>
      </w:pPr>
      <w:r w:rsidRPr="003F01B6">
        <w:rPr>
          <w:rFonts w:ascii="Arial" w:hAnsi="Arial"/>
          <w:noProof w:val="0"/>
          <w:rtl/>
        </w:rPr>
        <w:t xml:space="preserve">הנתבע 1 הגיש הודעת צד שלישי כנגד הנתבע 2, לפיה אם התביעה תתקבל ופסק הדין מיום 11.5.2020 יבוטל, הרי שהוא זכאי לקבל מנתבע 2 סעד של השבה או שיפוי או פיצוי בגין כל הסכום שנפסק כנגדו במסגרת פסק הבוררות ופסק הדין, ואשר שולם במלואו (סך של 287,931 </w:t>
      </w:r>
      <w:r w:rsidR="00AF595C">
        <w:rPr>
          <w:rFonts w:ascii="Arial" w:hAnsi="Arial" w:hint="cs"/>
          <w:noProof w:val="0"/>
          <w:rtl/>
        </w:rPr>
        <w:t>ש"ח</w:t>
      </w:r>
      <w:r w:rsidRPr="003F01B6">
        <w:rPr>
          <w:rFonts w:ascii="Arial" w:hAnsi="Arial"/>
          <w:noProof w:val="0"/>
          <w:rtl/>
        </w:rPr>
        <w:t xml:space="preserve"> מתוכם סכום של 238,131 </w:t>
      </w:r>
      <w:r w:rsidR="00AF595C">
        <w:rPr>
          <w:rFonts w:ascii="Arial" w:hAnsi="Arial" w:hint="cs"/>
          <w:noProof w:val="0"/>
          <w:rtl/>
        </w:rPr>
        <w:t>ש"ח</w:t>
      </w:r>
      <w:r w:rsidRPr="003F01B6">
        <w:rPr>
          <w:rFonts w:ascii="Arial" w:hAnsi="Arial"/>
          <w:noProof w:val="0"/>
          <w:rtl/>
        </w:rPr>
        <w:t xml:space="preserve"> על דרך קיזוז וסך של 49,800 </w:t>
      </w:r>
      <w:r w:rsidR="00AF595C">
        <w:rPr>
          <w:rFonts w:ascii="Arial" w:hAnsi="Arial" w:hint="cs"/>
          <w:noProof w:val="0"/>
          <w:rtl/>
        </w:rPr>
        <w:t>ש"ח</w:t>
      </w:r>
      <w:r w:rsidRPr="003F01B6">
        <w:rPr>
          <w:rFonts w:ascii="Arial" w:hAnsi="Arial"/>
          <w:noProof w:val="0"/>
          <w:rtl/>
        </w:rPr>
        <w:t xml:space="preserve"> במזומן). </w:t>
      </w:r>
      <w:r w:rsidRPr="00AF595C">
        <w:rPr>
          <w:rFonts w:ascii="Arial" w:hAnsi="Arial"/>
          <w:noProof w:val="0"/>
          <w:rtl/>
        </w:rPr>
        <w:t xml:space="preserve">יתר הנתבעים, ובכללם האם המנוחה שבא כוחה חזר בו מטענות כתב ההגנה והסכים כי התביעה תתקבל, שהם הבעלים של למעלה מ-92% מהתכשיטים, אינם מתנגדים לתביעה. </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תמצית טענות הנתבע 2</w:t>
      </w:r>
    </w:p>
    <w:p w:rsidR="00AF595C" w:rsidRDefault="003F01B6" w:rsidP="00AF595C">
      <w:pPr>
        <w:numPr>
          <w:ilvl w:val="0"/>
          <w:numId w:val="2"/>
        </w:numPr>
        <w:spacing w:after="120" w:line="360" w:lineRule="auto"/>
        <w:ind w:left="708" w:hanging="708"/>
        <w:jc w:val="both"/>
        <w:rPr>
          <w:rFonts w:ascii="Arial" w:hAnsi="Arial"/>
          <w:noProof w:val="0"/>
        </w:rPr>
      </w:pPr>
      <w:r w:rsidRPr="003F01B6">
        <w:rPr>
          <w:rFonts w:ascii="Arial" w:hAnsi="Arial"/>
          <w:noProof w:val="0"/>
          <w:rtl/>
        </w:rPr>
        <w:t xml:space="preserve">הנתבע 2 לא החזיק בתכשיטים ממועד פטירת המנוח ולא כיום. תכשיטי ההורים היו ונותרו אצל הנתבע 1, בכספת בעליית הגג בביתו החל משנת 2010,  ולא הגיעו לידיו של הנתבע 2. </w:t>
      </w:r>
    </w:p>
    <w:p w:rsidR="003F01B6" w:rsidRPr="003F01B6" w:rsidRDefault="003F01B6" w:rsidP="00AF595C">
      <w:pPr>
        <w:spacing w:after="120" w:line="360" w:lineRule="auto"/>
        <w:ind w:left="708"/>
        <w:jc w:val="both"/>
        <w:rPr>
          <w:rFonts w:ascii="Arial" w:hAnsi="Arial"/>
          <w:noProof w:val="0"/>
          <w:rtl/>
        </w:rPr>
      </w:pPr>
      <w:r w:rsidRPr="003F01B6">
        <w:rPr>
          <w:rFonts w:ascii="Arial" w:hAnsi="Arial"/>
          <w:noProof w:val="0"/>
          <w:rtl/>
        </w:rPr>
        <w:t xml:space="preserve">במסגרת הליך הבוררות בין הנתבע 1 לבין הנתבע 2, חויב הנתבע 1 להשיב לנתבע 2 את תכשיטי ההורים שהוחזקו בכספת הנמצאת בעליית הגג בביתו. במקום לפעול בהתאם לאמור, הנתבע 1 מכר את התכשיטים לצד שלישי בניגוד לפסק הבוררות הראשון. בשל כך הנתבע 2 הגיש תביעה כספית כנגד הנתבע 1, ובפסק הבוררות השני חויב הנתבע 1 לשלם לנתבע 2 באופן אישי. הסכום ששילם הנתבע 1 לנתבע 2 היווה את ביצוע פסק הבוררות השני, שאושר בפסק דין, בהליכים שבין הנתבע 1 לבין הנתבע 2, מבלי שיהא בכך כדי להשליך על הבעלות בתכשיטים. </w:t>
      </w:r>
    </w:p>
    <w:p w:rsidR="00AF595C" w:rsidRDefault="003F01B6" w:rsidP="00AF595C">
      <w:pPr>
        <w:numPr>
          <w:ilvl w:val="0"/>
          <w:numId w:val="2"/>
        </w:numPr>
        <w:spacing w:after="120" w:line="360" w:lineRule="auto"/>
        <w:ind w:left="708" w:hanging="708"/>
        <w:jc w:val="both"/>
        <w:rPr>
          <w:rFonts w:ascii="Arial" w:hAnsi="Arial"/>
          <w:noProof w:val="0"/>
        </w:rPr>
      </w:pPr>
      <w:r w:rsidRPr="003F01B6">
        <w:rPr>
          <w:rFonts w:ascii="Arial" w:hAnsi="Arial"/>
          <w:noProof w:val="0"/>
          <w:rtl/>
        </w:rPr>
        <w:t xml:space="preserve">לא נפל פגם בהליך הבוררות והבורר לא חרג מסמכותו. הבורר לא הכריע בזכויות התובע והנתבעים 3-13 אלא ביחסים שבין הנתבע 1 לבין הנתבע 2, לכן, לא היה מקום להשמיע בעלי דין אחרים בהליך הבוררות. סוגיית התכשיטים לא הוכרעה ביחס לבעלות בהם, אלא נקבע שהנתבע 1 ישיב את התכשיטים לנתבע 2.  לאחר שהנתבע 1 לא פעל להשבת התכשיטים לידיו של הנתבע 2, ולא קיים את ההתחייבות האישית שחויב בה כלפי הנתבע 2 מכוח פסק הבוררות הראשון, הנתבע 2 הגיש כנגדו תביעה כספית בגין אי קיום ההתחייבות. </w:t>
      </w:r>
    </w:p>
    <w:p w:rsidR="00AF595C" w:rsidRDefault="003F01B6" w:rsidP="00AF595C">
      <w:pPr>
        <w:spacing w:after="120" w:line="360" w:lineRule="auto"/>
        <w:ind w:left="708"/>
        <w:jc w:val="both"/>
        <w:rPr>
          <w:rFonts w:ascii="Arial" w:hAnsi="Arial"/>
          <w:noProof w:val="0"/>
          <w:rtl/>
        </w:rPr>
      </w:pPr>
      <w:r w:rsidRPr="003F01B6">
        <w:rPr>
          <w:rFonts w:ascii="Arial" w:hAnsi="Arial"/>
          <w:noProof w:val="0"/>
          <w:rtl/>
        </w:rPr>
        <w:t>במסגרת התביעה הכספית, הנתבע 2</w:t>
      </w:r>
      <w:r w:rsidR="00AF595C">
        <w:rPr>
          <w:rFonts w:ascii="Arial" w:hAnsi="Arial" w:hint="cs"/>
          <w:noProof w:val="0"/>
          <w:rtl/>
        </w:rPr>
        <w:t xml:space="preserve"> </w:t>
      </w:r>
      <w:r w:rsidRPr="003F01B6">
        <w:rPr>
          <w:rFonts w:ascii="Arial" w:hAnsi="Arial"/>
          <w:noProof w:val="0"/>
          <w:rtl/>
        </w:rPr>
        <w:t xml:space="preserve">כימת את ההתחייבות שלא קוימה על ידי הנתבע 1 לשווי התכשיטים, וללא קשר לבעלות על התכשיטים. </w:t>
      </w:r>
    </w:p>
    <w:p w:rsidR="003F01B6" w:rsidRPr="003F01B6" w:rsidRDefault="003F01B6" w:rsidP="00AF595C">
      <w:pPr>
        <w:spacing w:after="120" w:line="360" w:lineRule="auto"/>
        <w:ind w:left="708"/>
        <w:jc w:val="both"/>
        <w:rPr>
          <w:rFonts w:ascii="Arial" w:hAnsi="Arial"/>
          <w:noProof w:val="0"/>
        </w:rPr>
      </w:pPr>
      <w:r w:rsidRPr="003F01B6">
        <w:rPr>
          <w:rFonts w:ascii="Arial" w:hAnsi="Arial"/>
          <w:noProof w:val="0"/>
          <w:rtl/>
        </w:rPr>
        <w:t xml:space="preserve">הנתבע 1 חויב בפסק הבוררות השני באופן אישי על אי ביצוע פסק הבוררות הראשון. התכשיטים נותרו אצל הנתבע 1. פסק הבוררות השני הוא פסק דין גברא. העובדה שניתן פסק דין כספי כאשר הנתבע 1 הצהיר שהתכשיטים אינם ברשותו, מוכיחה כי התשלום שנקבע בפסק הבוררות השני אינו בגין מכר אלא עבור פיצוי בגין אי העמידה בהתחייבות. </w:t>
      </w:r>
    </w:p>
    <w:p w:rsidR="003F01B6" w:rsidRPr="003F01B6" w:rsidRDefault="003F01B6" w:rsidP="004D2824">
      <w:pPr>
        <w:spacing w:after="120" w:line="360" w:lineRule="auto"/>
        <w:ind w:left="708"/>
        <w:jc w:val="both"/>
        <w:rPr>
          <w:rFonts w:ascii="Arial" w:hAnsi="Arial"/>
          <w:noProof w:val="0"/>
        </w:rPr>
      </w:pPr>
      <w:r w:rsidRPr="003F01B6">
        <w:rPr>
          <w:rFonts w:ascii="Arial" w:hAnsi="Arial"/>
          <w:noProof w:val="0"/>
          <w:rtl/>
        </w:rPr>
        <w:lastRenderedPageBreak/>
        <w:t>חוק המיטלטלין נכון ביחס לפירוק שיתוף אך לא רלוונטי במקרה זה. הבורר לא דן בפירוק שיתוף במיטלטלין, לא הכריע בזכויות בהם, וההיקף, המשקל והאיכות הוכרעו ביחסים שבין הנתבע 2 לבין הנתבע 1 , בכדי לתרגם את אי קיום ההתחייבות לשווי כספי.</w:t>
      </w:r>
    </w:p>
    <w:p w:rsidR="004D2824" w:rsidRDefault="003F01B6" w:rsidP="00AF595C">
      <w:pPr>
        <w:numPr>
          <w:ilvl w:val="0"/>
          <w:numId w:val="2"/>
        </w:numPr>
        <w:spacing w:after="120" w:line="360" w:lineRule="auto"/>
        <w:ind w:left="708" w:hanging="708"/>
        <w:jc w:val="both"/>
        <w:rPr>
          <w:rFonts w:ascii="Arial" w:hAnsi="Arial"/>
          <w:noProof w:val="0"/>
        </w:rPr>
      </w:pPr>
      <w:r w:rsidRPr="003F01B6">
        <w:rPr>
          <w:rFonts w:ascii="Arial" w:hAnsi="Arial"/>
          <w:noProof w:val="0"/>
          <w:rtl/>
        </w:rPr>
        <w:t xml:space="preserve">הליך </w:t>
      </w:r>
      <w:r w:rsidRPr="004D2824">
        <w:rPr>
          <w:rFonts w:ascii="Arial" w:hAnsi="Arial"/>
          <w:noProof w:val="0"/>
          <w:rtl/>
        </w:rPr>
        <w:t>הבוררות היה בעניינים עסקיים שבין הנתבע 1 לבין הנתבע 2 בלבד. המחלוקת בהתייחס לתכשיטים הייתה על משמורתם. הבורר לא הכריע בחזקה בתכשיטים אלא קבע בפסק הבוררות הראשון אכיפת התחייבות ובפסק הבוררות השני פיצוי על אי ביצוע התחייבות. הנתבע 1 לא פדה את התכשיטים בסכום כסף אלא את ההתחייבות האישית שלו כלפי הנתבע 2 , להשבת התכשיטים</w:t>
      </w:r>
      <w:r w:rsidRPr="003F01B6">
        <w:rPr>
          <w:rFonts w:ascii="Arial" w:hAnsi="Arial"/>
          <w:noProof w:val="0"/>
          <w:rtl/>
        </w:rPr>
        <w:t xml:space="preserve">. </w:t>
      </w:r>
    </w:p>
    <w:p w:rsidR="003F01B6" w:rsidRPr="003F01B6" w:rsidRDefault="003F01B6" w:rsidP="004D2824">
      <w:pPr>
        <w:spacing w:after="120" w:line="360" w:lineRule="auto"/>
        <w:ind w:left="708"/>
        <w:jc w:val="both"/>
        <w:rPr>
          <w:rFonts w:ascii="Arial" w:hAnsi="Arial"/>
          <w:noProof w:val="0"/>
          <w:rtl/>
        </w:rPr>
      </w:pPr>
      <w:r w:rsidRPr="003F01B6">
        <w:rPr>
          <w:rFonts w:ascii="Arial" w:hAnsi="Arial"/>
          <w:noProof w:val="0"/>
          <w:rtl/>
        </w:rPr>
        <w:t>הטענה שהנתבע 1 רכש את התכשיטים מהנתבע 2 היא מטעה ושגויה. התובע רשאי לתבוע מהנתבע 1 את התכשיטים השייכים ל</w:t>
      </w:r>
      <w:r w:rsidR="004D2824">
        <w:rPr>
          <w:rFonts w:ascii="Arial" w:hAnsi="Arial"/>
          <w:noProof w:val="0"/>
          <w:rtl/>
        </w:rPr>
        <w:t>עיזבון</w:t>
      </w:r>
      <w:r w:rsidRPr="003F01B6">
        <w:rPr>
          <w:rFonts w:ascii="Arial" w:hAnsi="Arial"/>
          <w:noProof w:val="0"/>
          <w:rtl/>
        </w:rPr>
        <w:t xml:space="preserve">, ופסקי הבוררות הראשון והשני, לא מונעים ממנו להגיש תביעותיו, מאחר שלא קיים מעשה בי דין בין התובע לבין הנתבע 1 או הנתבע 2. בכך מתייתרת תביעה זו, לא כל שכן כאשר התכשיטים אינם ברשותו או בשליטתו של הנתבע 2. </w:t>
      </w:r>
    </w:p>
    <w:p w:rsidR="003F01B6" w:rsidRPr="003F01B6" w:rsidRDefault="003F01B6" w:rsidP="00AF595C">
      <w:pPr>
        <w:numPr>
          <w:ilvl w:val="0"/>
          <w:numId w:val="2"/>
        </w:numPr>
        <w:spacing w:after="120" w:line="360" w:lineRule="auto"/>
        <w:ind w:left="708" w:hanging="708"/>
        <w:jc w:val="both"/>
        <w:rPr>
          <w:rFonts w:ascii="Arial" w:hAnsi="Arial"/>
          <w:noProof w:val="0"/>
        </w:rPr>
      </w:pPr>
      <w:r w:rsidRPr="003F01B6">
        <w:rPr>
          <w:rFonts w:ascii="Arial" w:hAnsi="Arial"/>
          <w:noProof w:val="0"/>
          <w:rtl/>
        </w:rPr>
        <w:t xml:space="preserve">דין התביעה סילוק על הסף מחמת העדר יריבות ובשל היותה קנטרנית. עילת התביעה היא להשבת התכשיטים, אך אלו אינם נמצאים בידי הנתבע 2. התביעה נועדה לעשות שימוש לרעה בהליכי משפט. התביעה הוגשה כחלק מסכסוך בו מצויים האחים בעניין ירושת האב המנוח ובעניין הטיפול באם </w:t>
      </w:r>
      <w:r w:rsidR="004D2824">
        <w:rPr>
          <w:rFonts w:ascii="Arial" w:hAnsi="Arial" w:hint="cs"/>
          <w:noProof w:val="0"/>
          <w:rtl/>
        </w:rPr>
        <w:t xml:space="preserve">המנוחה </w:t>
      </w:r>
      <w:r w:rsidRPr="003F01B6">
        <w:rPr>
          <w:rFonts w:ascii="Arial" w:hAnsi="Arial"/>
          <w:noProof w:val="0"/>
          <w:rtl/>
        </w:rPr>
        <w:t xml:space="preserve">והחובות שרבצו לפתחה. לא סביר שהתובע לא היה מודע להליך הבוררות אלא רק בחודש 02/2021, כשזה החל בשנת 2013 והעידו בו חלק נכבד מהאחים. דין התביעה להידחות מהטעם שהיא מתייחסת לביטול פסק הבוררות השני ופסק הדין המאשר אותו, ולא לביטול פסק הבוררות הראשון הקובע כי הנתבע 1 יעביר את התכשיטים למשמורת הנתבע 2. </w:t>
      </w:r>
    </w:p>
    <w:p w:rsidR="003F01B6" w:rsidRPr="003F01B6" w:rsidRDefault="003F01B6" w:rsidP="00AF595C">
      <w:pPr>
        <w:numPr>
          <w:ilvl w:val="0"/>
          <w:numId w:val="2"/>
        </w:numPr>
        <w:spacing w:after="120" w:line="360" w:lineRule="auto"/>
        <w:ind w:left="708" w:hanging="708"/>
        <w:jc w:val="both"/>
        <w:rPr>
          <w:rFonts w:ascii="Arial" w:hAnsi="Arial"/>
          <w:noProof w:val="0"/>
          <w:rtl/>
        </w:rPr>
      </w:pPr>
      <w:r w:rsidRPr="003F01B6">
        <w:rPr>
          <w:rFonts w:ascii="Arial" w:hAnsi="Arial"/>
          <w:noProof w:val="0"/>
          <w:rtl/>
        </w:rPr>
        <w:t xml:space="preserve">התביעה הוגשה על ידי התובע בלבד, ללא יתר הנתבעים. התביעה מאפשרת לנתבע 1 להעלות טענות בעל אופי של ערעור על פסק הדין מיום 11.5.2020. </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תמצית טענות הנתבעת 3</w:t>
      </w:r>
    </w:p>
    <w:p w:rsidR="003F01B6" w:rsidRPr="003F01B6" w:rsidRDefault="003F01B6" w:rsidP="004D2824">
      <w:pPr>
        <w:numPr>
          <w:ilvl w:val="0"/>
          <w:numId w:val="2"/>
        </w:numPr>
        <w:spacing w:after="120" w:line="360" w:lineRule="auto"/>
        <w:ind w:left="708" w:hanging="708"/>
        <w:jc w:val="both"/>
        <w:rPr>
          <w:rFonts w:ascii="Arial" w:hAnsi="Arial"/>
          <w:noProof w:val="0"/>
          <w:rtl/>
        </w:rPr>
      </w:pPr>
      <w:r w:rsidRPr="003F01B6">
        <w:rPr>
          <w:rFonts w:ascii="Arial" w:hAnsi="Arial"/>
          <w:noProof w:val="0"/>
          <w:rtl/>
        </w:rPr>
        <w:t xml:space="preserve">בסיכומיה מיום 23.1.2022 ציינה הנתבעת 3 כי היא מצטרפת לסיכומי התובע וכי היא מסכימה לסעיף 49 א-ה לסיכומיו על כל סעיפיו. </w:t>
      </w:r>
    </w:p>
    <w:p w:rsidR="003F01B6" w:rsidRPr="003F01B6" w:rsidRDefault="003F01B6" w:rsidP="00F654EF">
      <w:pPr>
        <w:numPr>
          <w:ilvl w:val="0"/>
          <w:numId w:val="2"/>
        </w:numPr>
        <w:spacing w:after="120" w:line="360" w:lineRule="auto"/>
        <w:ind w:left="708" w:hanging="708"/>
        <w:jc w:val="both"/>
        <w:rPr>
          <w:rFonts w:ascii="Arial" w:hAnsi="Arial"/>
          <w:noProof w:val="0"/>
        </w:rPr>
      </w:pPr>
      <w:r w:rsidRPr="003F01B6">
        <w:rPr>
          <w:rFonts w:ascii="Arial" w:hAnsi="Arial"/>
          <w:noProof w:val="0"/>
          <w:rtl/>
        </w:rPr>
        <w:t xml:space="preserve">לאפוטרופוס, </w:t>
      </w:r>
      <w:r w:rsidR="00F654EF">
        <w:rPr>
          <w:rFonts w:ascii="Arial" w:hAnsi="Arial" w:hint="cs"/>
          <w:noProof w:val="0"/>
          <w:rtl/>
        </w:rPr>
        <w:t>-------</w:t>
      </w:r>
      <w:r w:rsidRPr="003F01B6">
        <w:rPr>
          <w:rFonts w:ascii="Arial" w:hAnsi="Arial"/>
          <w:noProof w:val="0"/>
          <w:rtl/>
        </w:rPr>
        <w:t>, אין מידע על מלוא היקף זכויותיה של הנתבעת 3, בכל הקשור לבעלה המנוח, לרבות בעניין תכשיטי עיזבון בעלה המנוח, שכן דבר זה לא הובא לידיעת האפוטרופוס על ידי מי מהצדדים או על ידי הנתבעת 3.</w:t>
      </w:r>
    </w:p>
    <w:p w:rsidR="004D2824" w:rsidRDefault="003F01B6" w:rsidP="004D2824">
      <w:pPr>
        <w:numPr>
          <w:ilvl w:val="0"/>
          <w:numId w:val="2"/>
        </w:numPr>
        <w:spacing w:after="120" w:line="360" w:lineRule="auto"/>
        <w:ind w:left="708" w:hanging="708"/>
        <w:jc w:val="both"/>
        <w:rPr>
          <w:rFonts w:ascii="Arial" w:hAnsi="Arial"/>
          <w:noProof w:val="0"/>
        </w:rPr>
      </w:pPr>
      <w:r w:rsidRPr="003F01B6">
        <w:rPr>
          <w:rFonts w:ascii="Arial" w:hAnsi="Arial"/>
          <w:noProof w:val="0"/>
          <w:rtl/>
        </w:rPr>
        <w:t xml:space="preserve">הנתבעת 3 לא הייתה צד להליכים שהתנהלו בין ילדיה, ואין היא מודעת להליכים אלו. </w:t>
      </w:r>
    </w:p>
    <w:p w:rsidR="004D2824" w:rsidRDefault="004D2824" w:rsidP="004D2824">
      <w:pPr>
        <w:pStyle w:val="ad"/>
        <w:rPr>
          <w:rFonts w:ascii="Arial" w:hAnsi="Arial"/>
          <w:noProof w:val="0"/>
          <w:rtl/>
        </w:rPr>
      </w:pPr>
    </w:p>
    <w:p w:rsidR="003F01B6" w:rsidRPr="003F01B6" w:rsidRDefault="003F01B6" w:rsidP="004D2824">
      <w:pPr>
        <w:spacing w:after="120" w:line="360" w:lineRule="auto"/>
        <w:ind w:left="708"/>
        <w:jc w:val="both"/>
        <w:rPr>
          <w:rFonts w:ascii="Arial" w:hAnsi="Arial"/>
          <w:noProof w:val="0"/>
        </w:rPr>
      </w:pPr>
      <w:r w:rsidRPr="003F01B6">
        <w:rPr>
          <w:rFonts w:ascii="Arial" w:hAnsi="Arial"/>
          <w:noProof w:val="0"/>
          <w:rtl/>
        </w:rPr>
        <w:lastRenderedPageBreak/>
        <w:t xml:space="preserve">בהסתמך על כתב התביעה , נראה כי בין הנתבעת 3 לבין התובע אין יריבות. למען הזהירות, הנתבעת 3 מכחישה את כל סעיפי התביעה. אם קיימות זכויות לנתבעת 3, לרבות הזכויות  בתכשיטים,  האפוטרופוס בשם הנתבעת 3 עומד על קבלת זכויות אלו, תוך שמירת זכויותיה של הנתבעת 3. </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דיון והכרעה</w:t>
      </w:r>
    </w:p>
    <w:p w:rsidR="008B3C2A" w:rsidRDefault="003F01B6" w:rsidP="008B3C2A">
      <w:pPr>
        <w:numPr>
          <w:ilvl w:val="0"/>
          <w:numId w:val="1"/>
        </w:numPr>
        <w:spacing w:after="120" w:line="360" w:lineRule="auto"/>
        <w:ind w:left="567" w:hanging="720"/>
        <w:jc w:val="both"/>
        <w:rPr>
          <w:rFonts w:ascii="Arial" w:hAnsi="Arial"/>
          <w:noProof w:val="0"/>
        </w:rPr>
      </w:pPr>
      <w:r w:rsidRPr="003F01B6">
        <w:rPr>
          <w:rFonts w:ascii="Arial" w:hAnsi="Arial"/>
          <w:noProof w:val="0"/>
          <w:rtl/>
        </w:rPr>
        <w:t xml:space="preserve">המחלוקת נסובה סביב הליכי בוררות שהנתבע 1 והנתבע 2 היו צד להם, ויתר בעלי הדין לא היו צד להם. </w:t>
      </w:r>
    </w:p>
    <w:p w:rsidR="008B3C2A" w:rsidRDefault="003F01B6" w:rsidP="008B3C2A">
      <w:pPr>
        <w:spacing w:after="120" w:line="360" w:lineRule="auto"/>
        <w:ind w:left="567"/>
        <w:jc w:val="both"/>
        <w:rPr>
          <w:rFonts w:ascii="Arial" w:hAnsi="Arial"/>
          <w:noProof w:val="0"/>
          <w:rtl/>
        </w:rPr>
      </w:pPr>
      <w:r w:rsidRPr="003F01B6">
        <w:rPr>
          <w:rFonts w:ascii="Arial" w:hAnsi="Arial"/>
          <w:noProof w:val="0"/>
          <w:rtl/>
        </w:rPr>
        <w:t xml:space="preserve">במסגרת הליכים אלו, נידונה סוגיית השבת התכשיטים והזהב מידיו של הנתבע 1 לידיו של הנתבע 2 (הליך הבוררות הראשון); בעקבות מכירת הזהב והתכשיטים על ידי הנתבע 1 הוגשה תביעה כספית על ידי הנתבע 2 לגבי כמות התכשיטים והזהב ושווים, שבסיום בירורה חויב הנתבע 1 לשלם לנתבע 2 סכום כספי (הליך הבוררות השני). </w:t>
      </w:r>
    </w:p>
    <w:p w:rsidR="003F01B6" w:rsidRPr="003F01B6" w:rsidRDefault="008B3C2A" w:rsidP="008B3C2A">
      <w:pPr>
        <w:spacing w:after="120" w:line="360" w:lineRule="auto"/>
        <w:ind w:left="567"/>
        <w:jc w:val="both"/>
        <w:rPr>
          <w:rFonts w:ascii="Arial" w:hAnsi="Arial"/>
          <w:noProof w:val="0"/>
          <w:rtl/>
        </w:rPr>
      </w:pPr>
      <w:r>
        <w:rPr>
          <w:rFonts w:ascii="Arial" w:hAnsi="Arial" w:hint="cs"/>
          <w:noProof w:val="0"/>
          <w:rtl/>
        </w:rPr>
        <w:t xml:space="preserve">כאמור, </w:t>
      </w:r>
      <w:r w:rsidR="003F01B6" w:rsidRPr="003F01B6">
        <w:rPr>
          <w:rFonts w:ascii="Arial" w:hAnsi="Arial"/>
          <w:noProof w:val="0"/>
          <w:rtl/>
        </w:rPr>
        <w:t xml:space="preserve">התובע עותר לפסק דין הצהרתי הקובע כי התכשיטים והזהב שייכים לאם המנוחה ולעיזבון המנוח, וכי כל הקביעות, ההוראות והחיובים בפסק הבוררות השני ובפסק הדין מיום 11.5.2020 ביחס לתכשיטים ולזהב - מבוטלים. בהתאם לכך, הוא עותר למנות לעיזבון המנוח מנהל עיזבון שהתכשיטים יועברו לידיו, ועותר למתן הוראות נוספות. </w:t>
      </w:r>
    </w:p>
    <w:p w:rsidR="003F01B6" w:rsidRPr="008B3C2A" w:rsidRDefault="003F01B6" w:rsidP="008B3C2A">
      <w:pPr>
        <w:numPr>
          <w:ilvl w:val="0"/>
          <w:numId w:val="1"/>
        </w:numPr>
        <w:spacing w:after="120" w:line="360" w:lineRule="auto"/>
        <w:ind w:left="567" w:hanging="720"/>
        <w:jc w:val="both"/>
        <w:rPr>
          <w:rFonts w:ascii="Arial" w:hAnsi="Arial"/>
          <w:noProof w:val="0"/>
        </w:rPr>
      </w:pPr>
      <w:r w:rsidRPr="008B3C2A">
        <w:rPr>
          <w:rFonts w:ascii="Arial" w:hAnsi="Arial"/>
          <w:noProof w:val="0"/>
          <w:rtl/>
        </w:rPr>
        <w:t xml:space="preserve">לאחר עיון בכל החומר המצוי בתיק וכן בפסק הבוררות הראשון (נספח ד'1 לכתב הבקשה בת"ב 10973-04-17), בפסק הדין מיום 12.9.2018 המאשר אותו, בפסק הבוררות השני (נספח  א' לכתב הבקשה בתיק ת"ב 8370-01-20) ובפסק הדין מיום 11.5.2020 המאשר אותו, </w:t>
      </w:r>
      <w:r w:rsidR="008B3C2A" w:rsidRPr="008B3C2A">
        <w:rPr>
          <w:rFonts w:ascii="Arial" w:hAnsi="Arial" w:hint="cs"/>
          <w:noProof w:val="0"/>
          <w:rtl/>
        </w:rPr>
        <w:t xml:space="preserve">אני סבורה, כי </w:t>
      </w:r>
      <w:r w:rsidRPr="008B3C2A">
        <w:rPr>
          <w:rFonts w:ascii="Arial" w:hAnsi="Arial"/>
          <w:noProof w:val="0"/>
          <w:rtl/>
        </w:rPr>
        <w:t xml:space="preserve">דין התביעה להידחות. </w:t>
      </w:r>
      <w:r w:rsidR="008B3C2A">
        <w:rPr>
          <w:rFonts w:ascii="Arial" w:hAnsi="Arial" w:hint="cs"/>
          <w:noProof w:val="0"/>
          <w:rtl/>
        </w:rPr>
        <w:t>אפרט ואסביר את הטעמים המצדיקים את דחיית התביעה להלן.</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תחולת פסקי הבוררות על בעלי הדין שלא היו צד להליכי הבוררות</w:t>
      </w:r>
    </w:p>
    <w:p w:rsidR="003F01B6" w:rsidRPr="003F01B6" w:rsidRDefault="003F01B6" w:rsidP="00161462">
      <w:pPr>
        <w:numPr>
          <w:ilvl w:val="0"/>
          <w:numId w:val="1"/>
        </w:numPr>
        <w:spacing w:after="120" w:line="360" w:lineRule="auto"/>
        <w:ind w:left="567" w:hanging="720"/>
        <w:jc w:val="both"/>
        <w:rPr>
          <w:rFonts w:ascii="Arial" w:hAnsi="Arial"/>
          <w:noProof w:val="0"/>
        </w:rPr>
      </w:pPr>
      <w:r w:rsidRPr="003F01B6">
        <w:rPr>
          <w:rFonts w:ascii="Arial" w:hAnsi="Arial"/>
          <w:noProof w:val="0"/>
          <w:rtl/>
        </w:rPr>
        <w:t>התובע טוען כי פסק דין שניתן תוך פגיעה בכללי הצדק הטבעי באופן שעלול לגרום עיוות דין כמו במקרה שבו שנשללה זכות הטיעון, הוא כפסק דין אשר ניתן בחוסר סמכות ועל כן בטל מעיקרו. לטענתו, בהתאם להלכה, לכל אדם עומדת זכות לדרוש ביטול פסק דין הפוגע בו, אם לא היה בעל דין בדיון.</w:t>
      </w:r>
    </w:p>
    <w:p w:rsidR="003F01B6" w:rsidRPr="003F01B6" w:rsidRDefault="003F01B6" w:rsidP="007254C2">
      <w:pPr>
        <w:numPr>
          <w:ilvl w:val="0"/>
          <w:numId w:val="1"/>
        </w:numPr>
        <w:spacing w:after="120" w:line="360" w:lineRule="auto"/>
        <w:ind w:left="567" w:hanging="720"/>
        <w:jc w:val="both"/>
        <w:rPr>
          <w:rFonts w:ascii="Arial" w:hAnsi="Arial"/>
          <w:noProof w:val="0"/>
        </w:rPr>
      </w:pPr>
      <w:r w:rsidRPr="003F01B6">
        <w:rPr>
          <w:rFonts w:ascii="Arial" w:hAnsi="Arial"/>
          <w:noProof w:val="0"/>
          <w:rtl/>
        </w:rPr>
        <w:t xml:space="preserve">בענייננו, אינני סבורה כי עומדת לתובע הזכות לעתור לביטול פסק הבוררות ופסק דין המאשר אותו, מאחר שאין לראות בו כמי שנפגעו זכויותיו מהליך הבוררות. צדדים להליך הבוררות אינם יכולים למסור לבוררות סכסוך בענייני חפצא, קרי, סכסוך שהכרעה בו תהיה בעלת תוקף כלפי "כולי עלמא" ( </w:t>
      </w:r>
      <w:r w:rsidRPr="003F01B6">
        <w:rPr>
          <w:rFonts w:ascii="Arial" w:hAnsi="Arial"/>
          <w:noProof w:val="0"/>
        </w:rPr>
        <w:t>(in rem</w:t>
      </w:r>
      <w:r w:rsidRPr="003F01B6">
        <w:rPr>
          <w:rFonts w:ascii="Arial" w:hAnsi="Arial"/>
          <w:noProof w:val="0"/>
          <w:rtl/>
        </w:rPr>
        <w:t xml:space="preserve">. אף אם הנושא הועלה בפני בורר באורח אגב תוך כדי דיון בשאלה אחרת, הבורר מוסמך לפסוק בו, אך פסקו לא יחייב </w:t>
      </w:r>
      <w:r w:rsidRPr="00161462">
        <w:rPr>
          <w:rFonts w:ascii="Arial" w:hAnsi="Arial"/>
          <w:b/>
          <w:bCs/>
          <w:noProof w:val="0"/>
          <w:u w:val="single"/>
          <w:rtl/>
        </w:rPr>
        <w:t>אלא את הצדדים להסכם הבוררות בלבד</w:t>
      </w:r>
      <w:r w:rsidRPr="003F01B6">
        <w:rPr>
          <w:rFonts w:ascii="Arial" w:hAnsi="Arial"/>
          <w:noProof w:val="0"/>
          <w:rtl/>
        </w:rPr>
        <w:t xml:space="preserve"> (</w:t>
      </w:r>
      <w:r w:rsidR="005F7F57">
        <w:rPr>
          <w:rFonts w:ascii="Arial" w:hAnsi="Arial" w:hint="cs"/>
          <w:noProof w:val="0"/>
          <w:rtl/>
        </w:rPr>
        <w:t>סמדר אוטולנגי</w:t>
      </w:r>
      <w:r w:rsidR="00161462">
        <w:rPr>
          <w:rFonts w:ascii="Arial" w:hAnsi="Arial" w:hint="cs"/>
          <w:noProof w:val="0"/>
          <w:rtl/>
        </w:rPr>
        <w:t>,</w:t>
      </w:r>
      <w:r w:rsidRPr="003F01B6">
        <w:rPr>
          <w:rFonts w:ascii="Arial" w:hAnsi="Arial"/>
          <w:noProof w:val="0"/>
          <w:rtl/>
        </w:rPr>
        <w:t xml:space="preserve"> </w:t>
      </w:r>
      <w:r w:rsidR="005F7F57" w:rsidRPr="00161462">
        <w:rPr>
          <w:rFonts w:ascii="Arial" w:hAnsi="Arial" w:hint="cs"/>
          <w:b/>
          <w:bCs/>
          <w:noProof w:val="0"/>
          <w:rtl/>
        </w:rPr>
        <w:t>בוררות דין ונוהל</w:t>
      </w:r>
      <w:r w:rsidR="00161462">
        <w:rPr>
          <w:rFonts w:ascii="Arial" w:hAnsi="Arial" w:hint="cs"/>
          <w:noProof w:val="0"/>
          <w:rtl/>
        </w:rPr>
        <w:t>,</w:t>
      </w:r>
      <w:r w:rsidRPr="003F01B6">
        <w:rPr>
          <w:rFonts w:ascii="Arial" w:hAnsi="Arial"/>
          <w:noProof w:val="0"/>
          <w:rtl/>
        </w:rPr>
        <w:t xml:space="preserve"> כרך א'  147</w:t>
      </w:r>
      <w:r w:rsidR="005F7F57">
        <w:rPr>
          <w:rFonts w:ascii="Arial" w:hAnsi="Arial" w:hint="cs"/>
          <w:noProof w:val="0"/>
          <w:rtl/>
        </w:rPr>
        <w:t xml:space="preserve"> (מהדורה רביעית מיוחדת</w:t>
      </w:r>
      <w:r w:rsidR="00161462">
        <w:rPr>
          <w:rFonts w:ascii="Arial" w:hAnsi="Arial" w:hint="cs"/>
          <w:noProof w:val="0"/>
          <w:rtl/>
        </w:rPr>
        <w:t>,</w:t>
      </w:r>
      <w:r w:rsidR="005F7F57">
        <w:rPr>
          <w:rFonts w:ascii="Arial" w:hAnsi="Arial" w:hint="cs"/>
          <w:noProof w:val="0"/>
          <w:rtl/>
        </w:rPr>
        <w:t xml:space="preserve"> 2005)</w:t>
      </w:r>
      <w:r w:rsidRPr="003F01B6">
        <w:rPr>
          <w:rFonts w:ascii="Arial" w:hAnsi="Arial"/>
          <w:noProof w:val="0"/>
          <w:rtl/>
        </w:rPr>
        <w:t xml:space="preserve">. </w:t>
      </w:r>
    </w:p>
    <w:p w:rsidR="003F01B6" w:rsidRPr="003F01B6" w:rsidRDefault="003F01B6" w:rsidP="007254C2">
      <w:pPr>
        <w:numPr>
          <w:ilvl w:val="0"/>
          <w:numId w:val="1"/>
        </w:numPr>
        <w:spacing w:after="120" w:line="360" w:lineRule="auto"/>
        <w:ind w:left="567" w:hanging="720"/>
        <w:jc w:val="both"/>
        <w:rPr>
          <w:rFonts w:ascii="Arial" w:hAnsi="Arial"/>
          <w:noProof w:val="0"/>
          <w:rtl/>
        </w:rPr>
      </w:pPr>
      <w:r w:rsidRPr="003F01B6">
        <w:rPr>
          <w:rFonts w:ascii="Arial" w:hAnsi="Arial"/>
          <w:noProof w:val="0"/>
          <w:rtl/>
        </w:rPr>
        <w:lastRenderedPageBreak/>
        <w:t xml:space="preserve">סעיף 3 לחוק הבוררות, התשכ"ח- 1968 </w:t>
      </w:r>
      <w:r w:rsidR="00161462">
        <w:rPr>
          <w:rFonts w:ascii="Arial" w:hAnsi="Arial" w:hint="cs"/>
          <w:noProof w:val="0"/>
          <w:rtl/>
        </w:rPr>
        <w:t>(</w:t>
      </w:r>
      <w:r w:rsidR="00161462">
        <w:rPr>
          <w:rFonts w:ascii="Arial" w:hAnsi="Arial" w:hint="cs"/>
          <w:b/>
          <w:bCs/>
          <w:noProof w:val="0"/>
          <w:rtl/>
        </w:rPr>
        <w:t>"חוק הבוררות"</w:t>
      </w:r>
      <w:r w:rsidR="00161462">
        <w:rPr>
          <w:rFonts w:ascii="Arial" w:hAnsi="Arial" w:hint="cs"/>
          <w:noProof w:val="0"/>
          <w:rtl/>
        </w:rPr>
        <w:t xml:space="preserve">) </w:t>
      </w:r>
      <w:r w:rsidRPr="003F01B6">
        <w:rPr>
          <w:rFonts w:ascii="Arial" w:hAnsi="Arial"/>
          <w:noProof w:val="0"/>
          <w:rtl/>
        </w:rPr>
        <w:t xml:space="preserve">קובע כי </w:t>
      </w:r>
      <w:r w:rsidRPr="007254C2">
        <w:rPr>
          <w:rFonts w:ascii="Arial" w:hAnsi="Arial"/>
          <w:noProof w:val="0"/>
          <w:rtl/>
        </w:rPr>
        <w:t>"אין תוקף להסכם בוררות בענין שאינו יכול לשמש נושא להסכם בין הצדדים"</w:t>
      </w:r>
      <w:r w:rsidRPr="003F01B6">
        <w:rPr>
          <w:rFonts w:ascii="Arial" w:hAnsi="Arial"/>
          <w:noProof w:val="0"/>
          <w:rtl/>
        </w:rPr>
        <w:t xml:space="preserve">. </w:t>
      </w:r>
    </w:p>
    <w:p w:rsidR="003F01B6" w:rsidRPr="003F01B6" w:rsidRDefault="003F01B6" w:rsidP="00161462">
      <w:pPr>
        <w:spacing w:after="120" w:line="360" w:lineRule="auto"/>
        <w:ind w:left="567"/>
        <w:jc w:val="both"/>
        <w:rPr>
          <w:rFonts w:ascii="Arial" w:hAnsi="Arial"/>
          <w:noProof w:val="0"/>
          <w:rtl/>
        </w:rPr>
      </w:pPr>
      <w:r w:rsidRPr="003F01B6">
        <w:rPr>
          <w:rFonts w:ascii="Arial" w:hAnsi="Arial"/>
          <w:noProof w:val="0"/>
          <w:rtl/>
        </w:rPr>
        <w:t xml:space="preserve">בפסיקה נקבע כי </w:t>
      </w:r>
      <w:r w:rsidRPr="007254C2">
        <w:rPr>
          <w:rFonts w:ascii="Arial" w:hAnsi="Arial"/>
          <w:noProof w:val="0"/>
          <w:rtl/>
        </w:rPr>
        <w:t>"...</w:t>
      </w:r>
      <w:r w:rsidRPr="00161462">
        <w:rPr>
          <w:rFonts w:ascii="Arial" w:hAnsi="Arial"/>
          <w:b/>
          <w:bCs/>
          <w:noProof w:val="0"/>
          <w:rtl/>
        </w:rPr>
        <w:t xml:space="preserve">צדדים יכולים למסור להכרעה של בורר אך ורק סכסוך שנתגלע ביניהם ואשר עניינו עשוי להיות נושא להסכם בין הצדדים. בהיעדר הרשאה מצדדים שלישיים, או בהיעדר מעמד מיוחד של נציגות (כגון אפוטרופסות), צדדים להסכם יכולים בהסכם ביניהם להטיל חיובים רק על עצמם או </w:t>
      </w:r>
      <w:r w:rsidR="00161462" w:rsidRPr="00161462">
        <w:rPr>
          <w:rFonts w:ascii="Arial" w:hAnsi="Arial" w:hint="cs"/>
          <w:b/>
          <w:bCs/>
          <w:noProof w:val="0"/>
          <w:rtl/>
        </w:rPr>
        <w:t>ע</w:t>
      </w:r>
      <w:r w:rsidRPr="00161462">
        <w:rPr>
          <w:rFonts w:ascii="Arial" w:hAnsi="Arial"/>
          <w:b/>
          <w:bCs/>
          <w:noProof w:val="0"/>
          <w:rtl/>
        </w:rPr>
        <w:t xml:space="preserve">ל חליפיהם. בהתאם לכך, פסק בורר חל אך ורק כלפי הצדדים להסכם הבוררות או כלפי חליפיהם. הכרעת הבורר אינה יכולה ליצור מעשה-בית-דין כלפי צדדים שלישיים. לא ניתן להוציאה לפועל, ככזו, נגד צדדים כאלה. מסיבה זו, אין הצדדים להסכם בוררות יכולים למסור לבוררות סכסוך שהכרעה בו תהיה בעלת תוקף </w:t>
      </w:r>
      <w:r w:rsidRPr="00161462">
        <w:rPr>
          <w:rFonts w:ascii="Arial" w:hAnsi="Arial"/>
          <w:b/>
          <w:bCs/>
          <w:noProof w:val="0"/>
        </w:rPr>
        <w:t>,in rem</w:t>
      </w:r>
      <w:r w:rsidRPr="00161462">
        <w:rPr>
          <w:rFonts w:ascii="Arial" w:hAnsi="Arial"/>
          <w:b/>
          <w:bCs/>
          <w:noProof w:val="0"/>
          <w:rtl/>
        </w:rPr>
        <w:t>היינו כלפי צדדים שלישיים</w:t>
      </w:r>
      <w:r w:rsidRPr="007254C2">
        <w:rPr>
          <w:rFonts w:ascii="Arial" w:hAnsi="Arial"/>
          <w:noProof w:val="0"/>
          <w:rtl/>
        </w:rPr>
        <w:t>..."</w:t>
      </w:r>
      <w:r w:rsidRPr="003F01B6">
        <w:rPr>
          <w:rFonts w:ascii="Arial" w:hAnsi="Arial"/>
          <w:noProof w:val="0"/>
          <w:rtl/>
        </w:rPr>
        <w:t xml:space="preserve"> (רע"א 340/94</w:t>
      </w:r>
      <w:r w:rsidRPr="003F01B6">
        <w:rPr>
          <w:rFonts w:ascii="Arial" w:hAnsi="Arial"/>
          <w:noProof w:val="0"/>
        </w:rPr>
        <w:t xml:space="preserve"> </w:t>
      </w:r>
      <w:r w:rsidR="00161462">
        <w:rPr>
          <w:rFonts w:ascii="Arial" w:hAnsi="Arial"/>
          <w:b/>
          <w:bCs/>
          <w:noProof w:val="0"/>
          <w:rtl/>
        </w:rPr>
        <w:t>חברת חלקה</w:t>
      </w:r>
      <w:r w:rsidRPr="00161462">
        <w:rPr>
          <w:rFonts w:ascii="Arial" w:hAnsi="Arial"/>
          <w:b/>
          <w:bCs/>
          <w:noProof w:val="0"/>
          <w:rtl/>
        </w:rPr>
        <w:t xml:space="preserve"> 41</w:t>
      </w:r>
      <w:r w:rsidR="00161462">
        <w:rPr>
          <w:rFonts w:ascii="Arial" w:hAnsi="Arial" w:hint="cs"/>
          <w:b/>
          <w:bCs/>
          <w:noProof w:val="0"/>
          <w:rtl/>
        </w:rPr>
        <w:t xml:space="preserve"> </w:t>
      </w:r>
      <w:r w:rsidRPr="00161462">
        <w:rPr>
          <w:rFonts w:ascii="Arial" w:hAnsi="Arial"/>
          <w:b/>
          <w:bCs/>
          <w:noProof w:val="0"/>
          <w:rtl/>
        </w:rPr>
        <w:t>בגוש 6415</w:t>
      </w:r>
      <w:r w:rsidRPr="00161462">
        <w:rPr>
          <w:rFonts w:ascii="Arial" w:hAnsi="Arial"/>
          <w:b/>
          <w:bCs/>
          <w:noProof w:val="0"/>
        </w:rPr>
        <w:t xml:space="preserve"> </w:t>
      </w:r>
      <w:r w:rsidRPr="00161462">
        <w:rPr>
          <w:rFonts w:ascii="Arial" w:hAnsi="Arial"/>
          <w:b/>
          <w:bCs/>
          <w:noProof w:val="0"/>
          <w:rtl/>
        </w:rPr>
        <w:t>נ' מרקו בסן</w:t>
      </w:r>
      <w:r w:rsidR="00161462">
        <w:rPr>
          <w:rFonts w:ascii="Arial" w:hAnsi="Arial" w:hint="cs"/>
          <w:noProof w:val="0"/>
          <w:rtl/>
        </w:rPr>
        <w:t>,</w:t>
      </w:r>
      <w:r w:rsidRPr="003F01B6">
        <w:rPr>
          <w:rFonts w:ascii="Arial" w:hAnsi="Arial"/>
          <w:noProof w:val="0"/>
          <w:rtl/>
        </w:rPr>
        <w:t xml:space="preserve"> פ"ד נ(1) 636, 645). </w:t>
      </w:r>
    </w:p>
    <w:p w:rsidR="003F01B6" w:rsidRPr="003F01B6" w:rsidRDefault="00161462" w:rsidP="00161462">
      <w:pPr>
        <w:numPr>
          <w:ilvl w:val="0"/>
          <w:numId w:val="1"/>
        </w:numPr>
        <w:spacing w:after="120" w:line="360" w:lineRule="auto"/>
        <w:ind w:left="567" w:hanging="720"/>
        <w:jc w:val="both"/>
        <w:rPr>
          <w:rFonts w:ascii="Arial" w:hAnsi="Arial"/>
          <w:noProof w:val="0"/>
          <w:rtl/>
        </w:rPr>
      </w:pPr>
      <w:r>
        <w:rPr>
          <w:rFonts w:ascii="Arial" w:hAnsi="Arial" w:hint="cs"/>
          <w:noProof w:val="0"/>
          <w:rtl/>
        </w:rPr>
        <w:t xml:space="preserve">הפסיקה יוצרת הבחנה </w:t>
      </w:r>
      <w:r w:rsidR="003F01B6" w:rsidRPr="007254C2">
        <w:rPr>
          <w:rFonts w:ascii="Arial" w:hAnsi="Arial"/>
          <w:noProof w:val="0"/>
          <w:rtl/>
        </w:rPr>
        <w:t>בין פסקי דין 'חפציים' (</w:t>
      </w:r>
      <w:r w:rsidR="003F01B6" w:rsidRPr="007254C2">
        <w:rPr>
          <w:rFonts w:ascii="Arial" w:hAnsi="Arial"/>
          <w:noProof w:val="0"/>
        </w:rPr>
        <w:t>in rem</w:t>
      </w:r>
      <w:r w:rsidR="003F01B6" w:rsidRPr="007254C2">
        <w:rPr>
          <w:rFonts w:ascii="Arial" w:hAnsi="Arial"/>
          <w:noProof w:val="0"/>
          <w:rtl/>
        </w:rPr>
        <w:t>), לפסקי דין 'מעין-חפציים' (</w:t>
      </w:r>
      <w:r w:rsidR="003F01B6" w:rsidRPr="007254C2">
        <w:rPr>
          <w:rFonts w:ascii="Arial" w:hAnsi="Arial"/>
          <w:noProof w:val="0"/>
        </w:rPr>
        <w:t>quasi in rem</w:t>
      </w:r>
      <w:r w:rsidR="003F01B6" w:rsidRPr="007254C2">
        <w:rPr>
          <w:rFonts w:ascii="Arial" w:hAnsi="Arial"/>
          <w:noProof w:val="0"/>
          <w:rtl/>
        </w:rPr>
        <w:t>). פסקי דין 'מעין חפציים' כוללים קביעות 'חפציות' אך רק כבדרך אגב, לצורך הכרעה בסכסוך קונקרטי בין הצדדים. תוקפן של הקביעות הללו חל רק על הצדדים להליך (רע"א 1060</w:t>
      </w:r>
      <w:r w:rsidR="003F01B6" w:rsidRPr="00161462">
        <w:rPr>
          <w:rFonts w:ascii="Arial" w:hAnsi="Arial"/>
          <w:noProof w:val="0"/>
          <w:rtl/>
        </w:rPr>
        <w:t>/22</w:t>
      </w:r>
      <w:r w:rsidR="003F01B6" w:rsidRPr="00161462">
        <w:rPr>
          <w:rFonts w:ascii="Arial" w:hAnsi="Arial"/>
          <w:b/>
          <w:bCs/>
          <w:noProof w:val="0"/>
          <w:rtl/>
        </w:rPr>
        <w:t xml:space="preserve"> פאיז חוסין אלקטנאוי נ' מוחמד עבד אלרזק אחמד משעל</w:t>
      </w:r>
      <w:r w:rsidR="003F01B6" w:rsidRPr="007254C2">
        <w:rPr>
          <w:rFonts w:ascii="Arial" w:hAnsi="Arial"/>
          <w:noProof w:val="0"/>
          <w:rtl/>
        </w:rPr>
        <w:t xml:space="preserve"> (28.08.2022)).</w:t>
      </w:r>
      <w:r w:rsidR="003F01B6" w:rsidRPr="003F01B6">
        <w:rPr>
          <w:rFonts w:ascii="Arial" w:hAnsi="Arial"/>
          <w:noProof w:val="0"/>
          <w:rtl/>
        </w:rPr>
        <w:t xml:space="preserve"> </w:t>
      </w:r>
    </w:p>
    <w:p w:rsidR="003F01B6" w:rsidRPr="003F01B6" w:rsidRDefault="003F01B6" w:rsidP="00161462">
      <w:pPr>
        <w:numPr>
          <w:ilvl w:val="0"/>
          <w:numId w:val="1"/>
        </w:numPr>
        <w:spacing w:after="120" w:line="360" w:lineRule="auto"/>
        <w:ind w:left="567" w:hanging="720"/>
        <w:jc w:val="both"/>
        <w:rPr>
          <w:rFonts w:ascii="Arial" w:hAnsi="Arial"/>
          <w:noProof w:val="0"/>
          <w:rtl/>
        </w:rPr>
      </w:pPr>
      <w:r w:rsidRPr="003F01B6">
        <w:rPr>
          <w:rFonts w:ascii="Arial" w:hAnsi="Arial"/>
          <w:noProof w:val="0"/>
          <w:rtl/>
        </w:rPr>
        <w:t xml:space="preserve">במקרה </w:t>
      </w:r>
      <w:r w:rsidR="00161462">
        <w:rPr>
          <w:rFonts w:ascii="Arial" w:hAnsi="Arial" w:hint="cs"/>
          <w:noProof w:val="0"/>
          <w:rtl/>
        </w:rPr>
        <w:t>שלפניי</w:t>
      </w:r>
      <w:r w:rsidRPr="003F01B6">
        <w:rPr>
          <w:rFonts w:ascii="Arial" w:hAnsi="Arial"/>
          <w:noProof w:val="0"/>
          <w:rtl/>
        </w:rPr>
        <w:t>, הנתבע 1 והנתבע 2  חתמו על הסכם בוררות שנערך ונחתם ביום 5.8.2013 (נספח 2 לסיכומי הנתבע 1</w:t>
      </w:r>
      <w:r w:rsidR="00161462">
        <w:rPr>
          <w:rFonts w:ascii="Arial" w:hAnsi="Arial" w:hint="cs"/>
          <w:noProof w:val="0"/>
          <w:rtl/>
        </w:rPr>
        <w:t xml:space="preserve">, </w:t>
      </w:r>
      <w:r w:rsidR="00161462">
        <w:rPr>
          <w:rFonts w:ascii="Arial" w:hAnsi="Arial" w:hint="cs"/>
          <w:b/>
          <w:bCs/>
          <w:noProof w:val="0"/>
          <w:rtl/>
        </w:rPr>
        <w:t>"הסכם הבוררות"</w:t>
      </w:r>
      <w:r w:rsidRPr="003F01B6">
        <w:rPr>
          <w:rFonts w:ascii="Arial" w:hAnsi="Arial"/>
          <w:noProof w:val="0"/>
          <w:rtl/>
        </w:rPr>
        <w:t xml:space="preserve">). במסגרתו, הסכסוך הוגדר ככזה המתייחס לעניינים שונים, לרבות </w:t>
      </w:r>
      <w:r w:rsidRPr="007254C2">
        <w:rPr>
          <w:rFonts w:ascii="Arial" w:hAnsi="Arial"/>
          <w:noProof w:val="0"/>
          <w:rtl/>
        </w:rPr>
        <w:t>"נושאים כספיים שונים ובקשר עם השותפות ופירוקה"</w:t>
      </w:r>
      <w:r w:rsidRPr="003F01B6">
        <w:rPr>
          <w:rFonts w:ascii="Arial" w:hAnsi="Arial"/>
          <w:noProof w:val="0"/>
          <w:rtl/>
        </w:rPr>
        <w:t xml:space="preserve">. </w:t>
      </w:r>
    </w:p>
    <w:p w:rsidR="003F01B6" w:rsidRPr="003F01B6" w:rsidRDefault="003F01B6" w:rsidP="002E31CA">
      <w:pPr>
        <w:numPr>
          <w:ilvl w:val="0"/>
          <w:numId w:val="1"/>
        </w:numPr>
        <w:spacing w:after="120" w:line="360" w:lineRule="auto"/>
        <w:ind w:left="567" w:hanging="720"/>
        <w:jc w:val="both"/>
        <w:rPr>
          <w:rFonts w:ascii="Arial" w:hAnsi="Arial"/>
          <w:noProof w:val="0"/>
          <w:rtl/>
        </w:rPr>
      </w:pPr>
      <w:r w:rsidRPr="003F01B6">
        <w:rPr>
          <w:rFonts w:ascii="Arial" w:hAnsi="Arial"/>
          <w:noProof w:val="0"/>
          <w:rtl/>
        </w:rPr>
        <w:t xml:space="preserve">בהתבסס על הסכם הבוררות התקיימו הליכי הבוררות שסיומם בפסק הבוררות הראשון ובפסק הבוררות השני. </w:t>
      </w:r>
      <w:r w:rsidR="00161462">
        <w:rPr>
          <w:rFonts w:ascii="Arial" w:hAnsi="Arial" w:hint="cs"/>
          <w:noProof w:val="0"/>
          <w:rtl/>
        </w:rPr>
        <w:t>בהסתמך על הפסיקה, כמפורט לעיל</w:t>
      </w:r>
      <w:r w:rsidRPr="003F01B6">
        <w:rPr>
          <w:rFonts w:ascii="Arial" w:hAnsi="Arial"/>
          <w:noProof w:val="0"/>
          <w:rtl/>
        </w:rPr>
        <w:t xml:space="preserve">, תוקפן של הקביעות </w:t>
      </w:r>
      <w:r w:rsidR="00161462">
        <w:rPr>
          <w:rFonts w:ascii="Arial" w:hAnsi="Arial" w:hint="cs"/>
          <w:noProof w:val="0"/>
          <w:rtl/>
        </w:rPr>
        <w:t xml:space="preserve">בשני פסקי הבוררות </w:t>
      </w:r>
      <w:r w:rsidR="002E31CA">
        <w:rPr>
          <w:rFonts w:ascii="Arial" w:hAnsi="Arial" w:hint="cs"/>
          <w:noProof w:val="0"/>
          <w:rtl/>
        </w:rPr>
        <w:t>הוא</w:t>
      </w:r>
      <w:r w:rsidRPr="003F01B6">
        <w:rPr>
          <w:rFonts w:ascii="Arial" w:hAnsi="Arial"/>
          <w:noProof w:val="0"/>
          <w:rtl/>
        </w:rPr>
        <w:t xml:space="preserve"> אך על הצדדים להליכי הבוררות, כלומר, הנתבע 1 והנתבע 2. כבוד הבורר שב והדגיש זאת, כפי שיפורט להלן.</w:t>
      </w:r>
    </w:p>
    <w:p w:rsidR="003F01B6" w:rsidRPr="003F01B6" w:rsidRDefault="003F01B6" w:rsidP="007254C2">
      <w:pPr>
        <w:numPr>
          <w:ilvl w:val="0"/>
          <w:numId w:val="1"/>
        </w:numPr>
        <w:spacing w:after="120" w:line="360" w:lineRule="auto"/>
        <w:ind w:left="567" w:hanging="720"/>
        <w:jc w:val="both"/>
        <w:rPr>
          <w:rFonts w:ascii="Arial" w:hAnsi="Arial"/>
          <w:noProof w:val="0"/>
          <w:rtl/>
        </w:rPr>
      </w:pPr>
      <w:r w:rsidRPr="003F01B6">
        <w:rPr>
          <w:rFonts w:ascii="Arial" w:hAnsi="Arial"/>
          <w:noProof w:val="0"/>
          <w:rtl/>
        </w:rPr>
        <w:t xml:space="preserve">בפסק הבוררות הראשון נידונה תביעה שהגיש הנתבע 2 כנגד הנתבע 1 להשבת תכשיטים וזהב (עמ' 59 לפסק הבוררות הראשון). בהתאם לפסק הבוררות הראשון, הנתבע 2 ביקש להורות על מתן צו עשה להשבת תכשיטיה של האם </w:t>
      </w:r>
      <w:r w:rsidR="002E31CA">
        <w:rPr>
          <w:rFonts w:ascii="Arial" w:hAnsi="Arial" w:hint="cs"/>
          <w:noProof w:val="0"/>
          <w:rtl/>
        </w:rPr>
        <w:t xml:space="preserve">המנוחה </w:t>
      </w:r>
      <w:r w:rsidRPr="003F01B6">
        <w:rPr>
          <w:rFonts w:ascii="Arial" w:hAnsi="Arial"/>
          <w:noProof w:val="0"/>
          <w:rtl/>
        </w:rPr>
        <w:t xml:space="preserve">לידיו (סעיף 406). צוין כי שווים של התכשיטים והזהב לא ידוע וכי התביעה הייתה להשבתם בעין (סעיף 407). במסגרת ההליך טען הנתבע 1 כי התכשיטים אינם בבעלות הנתבע 2, אלא שייכים להורים המנוחים (סעיף 409). </w:t>
      </w:r>
    </w:p>
    <w:p w:rsidR="003F01B6" w:rsidRPr="003F01B6" w:rsidRDefault="003F01B6" w:rsidP="007254C2">
      <w:pPr>
        <w:numPr>
          <w:ilvl w:val="0"/>
          <w:numId w:val="1"/>
        </w:numPr>
        <w:spacing w:after="120" w:line="360" w:lineRule="auto"/>
        <w:ind w:left="567" w:hanging="720"/>
        <w:jc w:val="both"/>
        <w:rPr>
          <w:rFonts w:ascii="Arial" w:hAnsi="Arial"/>
          <w:noProof w:val="0"/>
        </w:rPr>
      </w:pPr>
      <w:r w:rsidRPr="003F01B6">
        <w:rPr>
          <w:rFonts w:ascii="Arial" w:hAnsi="Arial"/>
          <w:noProof w:val="0"/>
          <w:rtl/>
        </w:rPr>
        <w:t>תחת הכותרת "הכרעה בסוגית השבת התכשיטים" (סעיפים 487 ו-488 לפסק הבוררות הראשון), נקבע כדלקמן:</w:t>
      </w:r>
    </w:p>
    <w:p w:rsidR="003F01B6" w:rsidRPr="003F01B6" w:rsidRDefault="003F01B6" w:rsidP="00F654EF">
      <w:pPr>
        <w:spacing w:after="120" w:line="360" w:lineRule="auto"/>
        <w:ind w:left="1701" w:right="1134"/>
        <w:jc w:val="both"/>
        <w:rPr>
          <w:rFonts w:ascii="Arial" w:hAnsi="Arial"/>
          <w:b/>
          <w:bCs/>
          <w:noProof w:val="0"/>
          <w:rtl/>
        </w:rPr>
      </w:pPr>
      <w:r w:rsidRPr="003F01B6">
        <w:rPr>
          <w:rFonts w:ascii="Arial" w:hAnsi="Arial"/>
          <w:b/>
          <w:bCs/>
          <w:noProof w:val="0"/>
          <w:rtl/>
        </w:rPr>
        <w:t xml:space="preserve">"487. בכל הנוגע לתכשיטי ההורים, </w:t>
      </w:r>
      <w:r w:rsidR="00F654EF">
        <w:rPr>
          <w:rFonts w:ascii="Arial" w:hAnsi="Arial" w:hint="cs"/>
          <w:b/>
          <w:bCs/>
          <w:noProof w:val="0"/>
          <w:rtl/>
        </w:rPr>
        <w:t>----</w:t>
      </w:r>
      <w:r w:rsidRPr="003F01B6">
        <w:rPr>
          <w:rFonts w:ascii="Arial" w:hAnsi="Arial"/>
          <w:b/>
          <w:bCs/>
          <w:noProof w:val="0"/>
          <w:rtl/>
        </w:rPr>
        <w:t xml:space="preserve"> אישר בהגנתו כי אלו הועברו לידיו כשרוקן את תכולת הכספת אחר פטירת האב </w:t>
      </w:r>
      <w:r w:rsidRPr="003F01B6">
        <w:rPr>
          <w:rFonts w:ascii="Arial" w:hAnsi="Arial"/>
          <w:b/>
          <w:bCs/>
          <w:noProof w:val="0"/>
          <w:rtl/>
        </w:rPr>
        <w:lastRenderedPageBreak/>
        <w:t xml:space="preserve">והעבירה למחבוא בעליית הגג. </w:t>
      </w:r>
      <w:r w:rsidR="00F654EF">
        <w:rPr>
          <w:rFonts w:ascii="Arial" w:hAnsi="Arial" w:hint="cs"/>
          <w:b/>
          <w:bCs/>
          <w:noProof w:val="0"/>
          <w:rtl/>
        </w:rPr>
        <w:t>-----</w:t>
      </w:r>
      <w:r w:rsidRPr="003F01B6">
        <w:rPr>
          <w:rFonts w:ascii="Arial" w:hAnsi="Arial"/>
          <w:b/>
          <w:bCs/>
          <w:noProof w:val="0"/>
          <w:rtl/>
        </w:rPr>
        <w:t xml:space="preserve"> אישר שמסר ל</w:t>
      </w:r>
      <w:r w:rsidR="00F654EF">
        <w:rPr>
          <w:rFonts w:ascii="Arial" w:hAnsi="Arial" w:hint="cs"/>
          <w:b/>
          <w:bCs/>
          <w:noProof w:val="0"/>
          <w:rtl/>
        </w:rPr>
        <w:t>-----</w:t>
      </w:r>
      <w:r w:rsidRPr="003F01B6">
        <w:rPr>
          <w:rFonts w:ascii="Arial" w:hAnsi="Arial"/>
          <w:b/>
          <w:bCs/>
          <w:noProof w:val="0"/>
          <w:rtl/>
        </w:rPr>
        <w:t xml:space="preserve"> את התכשיטים לרגל חתונת בתו והם הושבו לו לאחר מכן. מכאן טוען </w:t>
      </w:r>
      <w:r w:rsidR="00F654EF">
        <w:rPr>
          <w:rFonts w:ascii="Arial" w:hAnsi="Arial" w:hint="cs"/>
          <w:b/>
          <w:bCs/>
          <w:noProof w:val="0"/>
          <w:rtl/>
        </w:rPr>
        <w:t>----</w:t>
      </w:r>
      <w:r w:rsidRPr="003F01B6">
        <w:rPr>
          <w:rFonts w:ascii="Arial" w:hAnsi="Arial"/>
          <w:b/>
          <w:bCs/>
          <w:noProof w:val="0"/>
          <w:rtl/>
        </w:rPr>
        <w:t xml:space="preserve"> שאין כל מחלוקת שהתכשיטים בידיו של </w:t>
      </w:r>
      <w:r w:rsidR="00F654EF">
        <w:rPr>
          <w:rFonts w:ascii="Arial" w:hAnsi="Arial" w:hint="cs"/>
          <w:b/>
          <w:bCs/>
          <w:noProof w:val="0"/>
          <w:rtl/>
        </w:rPr>
        <w:t>-----</w:t>
      </w:r>
      <w:r w:rsidRPr="003F01B6">
        <w:rPr>
          <w:rFonts w:ascii="Arial" w:hAnsi="Arial"/>
          <w:b/>
          <w:bCs/>
          <w:noProof w:val="0"/>
          <w:rtl/>
        </w:rPr>
        <w:t xml:space="preserve"> ויש להורות על השבתם אליו.</w:t>
      </w:r>
    </w:p>
    <w:p w:rsidR="003F01B6" w:rsidRPr="003F01B6" w:rsidRDefault="003F01B6" w:rsidP="00F654EF">
      <w:pPr>
        <w:spacing w:after="120" w:line="360" w:lineRule="auto"/>
        <w:ind w:left="1701" w:right="1134"/>
        <w:jc w:val="both"/>
        <w:rPr>
          <w:rFonts w:ascii="Arial" w:hAnsi="Arial"/>
          <w:b/>
          <w:bCs/>
          <w:noProof w:val="0"/>
          <w:u w:val="single"/>
          <w:rtl/>
        </w:rPr>
      </w:pPr>
      <w:r w:rsidRPr="003F01B6">
        <w:rPr>
          <w:rFonts w:ascii="Arial" w:hAnsi="Arial"/>
          <w:b/>
          <w:bCs/>
          <w:noProof w:val="0"/>
          <w:rtl/>
        </w:rPr>
        <w:t xml:space="preserve">488. אכן סבורני כי </w:t>
      </w:r>
      <w:r w:rsidRPr="003F01B6">
        <w:rPr>
          <w:rFonts w:ascii="Arial" w:hAnsi="Arial"/>
          <w:b/>
          <w:bCs/>
          <w:noProof w:val="0"/>
          <w:u w:val="single"/>
          <w:rtl/>
        </w:rPr>
        <w:t>ביחסים שבין שני אחים</w:t>
      </w:r>
      <w:r w:rsidRPr="003F01B6">
        <w:rPr>
          <w:rFonts w:ascii="Arial" w:hAnsi="Arial"/>
          <w:b/>
          <w:bCs/>
          <w:noProof w:val="0"/>
          <w:rtl/>
        </w:rPr>
        <w:t xml:space="preserve"> אלו על התכשיטים כולל הזהב שהיו בכספת שאינם כספים להימצא בידי </w:t>
      </w:r>
      <w:r w:rsidR="00F654EF">
        <w:rPr>
          <w:rFonts w:ascii="Arial" w:hAnsi="Arial" w:hint="cs"/>
          <w:b/>
          <w:bCs/>
          <w:noProof w:val="0"/>
          <w:rtl/>
        </w:rPr>
        <w:t>-----</w:t>
      </w:r>
      <w:r w:rsidRPr="003F01B6">
        <w:rPr>
          <w:rFonts w:ascii="Arial" w:hAnsi="Arial"/>
          <w:b/>
          <w:bCs/>
          <w:noProof w:val="0"/>
          <w:rtl/>
        </w:rPr>
        <w:t xml:space="preserve"> לנוכח האמור בנספח נ/1 עליו חתום </w:t>
      </w:r>
      <w:r w:rsidR="00F654EF">
        <w:rPr>
          <w:rFonts w:ascii="Arial" w:hAnsi="Arial" w:hint="cs"/>
          <w:b/>
          <w:bCs/>
          <w:noProof w:val="0"/>
          <w:rtl/>
        </w:rPr>
        <w:t>-----</w:t>
      </w:r>
      <w:r w:rsidRPr="003F01B6">
        <w:rPr>
          <w:rFonts w:ascii="Arial" w:hAnsi="Arial"/>
          <w:b/>
          <w:bCs/>
          <w:noProof w:val="0"/>
          <w:rtl/>
        </w:rPr>
        <w:t xml:space="preserve"> שהיה נכון ביחסיו עם </w:t>
      </w:r>
      <w:r w:rsidR="00F654EF">
        <w:rPr>
          <w:rFonts w:ascii="Arial" w:hAnsi="Arial" w:hint="cs"/>
          <w:b/>
          <w:bCs/>
          <w:noProof w:val="0"/>
          <w:rtl/>
        </w:rPr>
        <w:t>-----</w:t>
      </w:r>
      <w:r w:rsidRPr="003F01B6">
        <w:rPr>
          <w:rFonts w:ascii="Arial" w:hAnsi="Arial"/>
          <w:b/>
          <w:bCs/>
          <w:noProof w:val="0"/>
          <w:rtl/>
        </w:rPr>
        <w:t xml:space="preserve"> ליתן לו הרשות להחזיק במה שהותיר האב ומתוקף יחסיו עם האם והסיוע לה. יחד עם זאת, יודגש שהקביעה </w:t>
      </w:r>
      <w:r w:rsidRPr="003F01B6">
        <w:rPr>
          <w:rFonts w:ascii="Arial" w:hAnsi="Arial"/>
          <w:b/>
          <w:bCs/>
          <w:noProof w:val="0"/>
          <w:u w:val="single"/>
          <w:rtl/>
        </w:rPr>
        <w:t xml:space="preserve">ביחס ליחסים ביניהם אין בה דבר וחצי דבר ליחסים של </w:t>
      </w:r>
      <w:r w:rsidR="00F654EF">
        <w:rPr>
          <w:rFonts w:ascii="Arial" w:hAnsi="Arial" w:hint="cs"/>
          <w:b/>
          <w:bCs/>
          <w:noProof w:val="0"/>
          <w:u w:val="single"/>
          <w:rtl/>
        </w:rPr>
        <w:t>----</w:t>
      </w:r>
      <w:r w:rsidRPr="003F01B6">
        <w:rPr>
          <w:rFonts w:ascii="Arial" w:hAnsi="Arial"/>
          <w:b/>
          <w:bCs/>
          <w:noProof w:val="0"/>
          <w:u w:val="single"/>
          <w:rtl/>
        </w:rPr>
        <w:t xml:space="preserve"> למול כלל האחים ובכלל זאת נפקותו של צו הירושה ויחסיו של צו זה למול נספח נ/1". </w:t>
      </w:r>
    </w:p>
    <w:p w:rsidR="003F01B6" w:rsidRPr="003F01B6" w:rsidRDefault="003F01B6" w:rsidP="00D339FC">
      <w:pPr>
        <w:spacing w:after="120" w:line="360" w:lineRule="auto"/>
        <w:ind w:left="1701" w:right="1134"/>
        <w:jc w:val="both"/>
        <w:rPr>
          <w:rFonts w:ascii="Arial" w:hAnsi="Arial"/>
          <w:noProof w:val="0"/>
        </w:rPr>
      </w:pPr>
      <w:r w:rsidRPr="003F01B6">
        <w:rPr>
          <w:rFonts w:ascii="Arial" w:hAnsi="Arial"/>
          <w:noProof w:val="0"/>
          <w:rtl/>
        </w:rPr>
        <w:t>(הדגשה שלי, יש"ש)</w:t>
      </w:r>
    </w:p>
    <w:p w:rsidR="003F01B6" w:rsidRPr="003F01B6" w:rsidRDefault="003F01B6" w:rsidP="002E31CA">
      <w:pPr>
        <w:numPr>
          <w:ilvl w:val="0"/>
          <w:numId w:val="1"/>
        </w:numPr>
        <w:spacing w:after="120" w:line="360" w:lineRule="auto"/>
        <w:ind w:left="567" w:hanging="567"/>
        <w:jc w:val="both"/>
        <w:rPr>
          <w:rFonts w:ascii="Arial" w:hAnsi="Arial"/>
          <w:noProof w:val="0"/>
          <w:rtl/>
        </w:rPr>
      </w:pPr>
      <w:r w:rsidRPr="003F01B6">
        <w:rPr>
          <w:rFonts w:ascii="Arial" w:hAnsi="Arial"/>
          <w:noProof w:val="0"/>
          <w:rtl/>
        </w:rPr>
        <w:t>לעניין המסמך נ/1 אליו התייחס הבורר, צוין בפסק הבוררות הראשון כך:</w:t>
      </w:r>
    </w:p>
    <w:p w:rsidR="003F01B6" w:rsidRPr="003F01B6" w:rsidRDefault="003F01B6" w:rsidP="00D339FC">
      <w:pPr>
        <w:spacing w:after="120" w:line="360" w:lineRule="auto"/>
        <w:ind w:left="1701" w:right="1134"/>
        <w:jc w:val="both"/>
        <w:rPr>
          <w:rFonts w:ascii="Arial" w:hAnsi="Arial"/>
          <w:noProof w:val="0"/>
          <w:rtl/>
        </w:rPr>
      </w:pPr>
      <w:r w:rsidRPr="003F01B6">
        <w:rPr>
          <w:rFonts w:ascii="Arial" w:hAnsi="Arial"/>
          <w:b/>
          <w:bCs/>
          <w:noProof w:val="0"/>
          <w:rtl/>
        </w:rPr>
        <w:t xml:space="preserve">"441. גם למסמך נ/1 התייחסתי בפסק זה </w:t>
      </w:r>
      <w:r w:rsidRPr="003F01B6">
        <w:rPr>
          <w:rFonts w:ascii="Arial" w:hAnsi="Arial"/>
          <w:b/>
          <w:bCs/>
          <w:noProof w:val="0"/>
          <w:u w:val="single"/>
          <w:rtl/>
        </w:rPr>
        <w:t>כאשר מסמך זה מהווה הסכמה שבין האחים החתומים עליו. יחד עם זאת, מסמך זה באופן טבעי כפוף לדין ולדיני הירושה...</w:t>
      </w:r>
      <w:r w:rsidRPr="003F01B6">
        <w:rPr>
          <w:rFonts w:ascii="Arial" w:hAnsi="Arial"/>
          <w:b/>
          <w:bCs/>
          <w:noProof w:val="0"/>
          <w:rtl/>
        </w:rPr>
        <w:t xml:space="preserve">" </w:t>
      </w:r>
    </w:p>
    <w:p w:rsidR="003F01B6" w:rsidRPr="003F01B6" w:rsidRDefault="003F01B6" w:rsidP="00D339FC">
      <w:pPr>
        <w:spacing w:after="120" w:line="360" w:lineRule="auto"/>
        <w:ind w:left="720"/>
        <w:jc w:val="both"/>
        <w:rPr>
          <w:rFonts w:ascii="Arial" w:hAnsi="Arial"/>
          <w:noProof w:val="0"/>
        </w:rPr>
      </w:pPr>
      <w:r w:rsidRPr="003F01B6">
        <w:rPr>
          <w:rFonts w:ascii="Arial" w:hAnsi="Arial"/>
          <w:noProof w:val="0"/>
          <w:rtl/>
        </w:rPr>
        <w:t>הנתבע 1 צרף לסיכומיו את נספח נ/1 שהוצג בהליך הבוררות (נספח 4 לסיכומי הנתבע 1), שענייננו מסמך מודפס מיום 3.11.2010 עליו חתומים חלק מן האחים, כמפורט להלן:</w:t>
      </w:r>
    </w:p>
    <w:p w:rsidR="003F01B6" w:rsidRPr="003F01B6" w:rsidRDefault="003F01B6" w:rsidP="00D339FC">
      <w:pPr>
        <w:spacing w:after="120" w:line="360" w:lineRule="auto"/>
        <w:ind w:left="360"/>
        <w:jc w:val="center"/>
        <w:rPr>
          <w:rFonts w:ascii="Arial" w:hAnsi="Arial"/>
          <w:b/>
          <w:bCs/>
          <w:noProof w:val="0"/>
          <w:rtl/>
        </w:rPr>
      </w:pPr>
      <w:r w:rsidRPr="003F01B6">
        <w:rPr>
          <w:rFonts w:ascii="Arial" w:hAnsi="Arial"/>
          <w:b/>
          <w:bCs/>
          <w:noProof w:val="0"/>
          <w:rtl/>
        </w:rPr>
        <w:t>"לכל מאן דבעי!</w:t>
      </w:r>
    </w:p>
    <w:p w:rsidR="003F01B6" w:rsidRPr="003F01B6" w:rsidRDefault="003F01B6" w:rsidP="00F654EF">
      <w:pPr>
        <w:spacing w:after="120" w:line="360" w:lineRule="auto"/>
        <w:ind w:left="720"/>
        <w:jc w:val="center"/>
        <w:rPr>
          <w:rFonts w:ascii="Arial" w:hAnsi="Arial"/>
          <w:b/>
          <w:bCs/>
          <w:noProof w:val="0"/>
          <w:rtl/>
        </w:rPr>
      </w:pPr>
      <w:r w:rsidRPr="003F01B6">
        <w:rPr>
          <w:rFonts w:ascii="Arial" w:hAnsi="Arial"/>
          <w:b/>
          <w:bCs/>
          <w:noProof w:val="0"/>
          <w:rtl/>
        </w:rPr>
        <w:t xml:space="preserve">אנו החתומים מטה אחים למשפ' </w:t>
      </w:r>
      <w:r w:rsidR="00F654EF">
        <w:rPr>
          <w:rFonts w:ascii="Arial" w:hAnsi="Arial" w:hint="cs"/>
          <w:b/>
          <w:bCs/>
          <w:noProof w:val="0"/>
          <w:rtl/>
        </w:rPr>
        <w:t>----</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מצהירים בזאת</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שאנו לא מעוניינים לדעת</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מה השאיר אבינו ע"ה בירושה</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ולא רוצים לדעת מה השאיר אבינו ע"ה בירושה</w:t>
      </w:r>
    </w:p>
    <w:p w:rsidR="003F01B6" w:rsidRPr="003F01B6" w:rsidRDefault="003F01B6" w:rsidP="00F654EF">
      <w:pPr>
        <w:spacing w:after="120" w:line="360" w:lineRule="auto"/>
        <w:ind w:left="720"/>
        <w:jc w:val="center"/>
        <w:rPr>
          <w:rFonts w:ascii="Arial" w:hAnsi="Arial"/>
          <w:b/>
          <w:bCs/>
          <w:noProof w:val="0"/>
          <w:rtl/>
        </w:rPr>
      </w:pPr>
      <w:r w:rsidRPr="003F01B6">
        <w:rPr>
          <w:rFonts w:ascii="Arial" w:hAnsi="Arial"/>
          <w:b/>
          <w:bCs/>
          <w:noProof w:val="0"/>
          <w:rtl/>
        </w:rPr>
        <w:t xml:space="preserve">ואנו סומכים על האח מר </w:t>
      </w:r>
      <w:r w:rsidR="00F654EF">
        <w:rPr>
          <w:rFonts w:ascii="Arial" w:hAnsi="Arial" w:hint="cs"/>
          <w:b/>
          <w:bCs/>
          <w:noProof w:val="0"/>
          <w:rtl/>
        </w:rPr>
        <w:t>--- -----</w:t>
      </w:r>
      <w:r w:rsidRPr="003F01B6">
        <w:rPr>
          <w:rFonts w:ascii="Arial" w:hAnsi="Arial"/>
          <w:b/>
          <w:bCs/>
          <w:noProof w:val="0"/>
          <w:rtl/>
        </w:rPr>
        <w:t xml:space="preserve"> הי"ו</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שאבינו לפני פטירתו דיבר איתו</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וכל מה שהוא יעשה</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אנו סומכים עליו בשתי ידיים</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t>וכן אין אנו מעוניינים למנות אפוטרופוס לאמא</w:t>
      </w:r>
    </w:p>
    <w:p w:rsidR="003F01B6" w:rsidRPr="003F01B6" w:rsidRDefault="003F01B6" w:rsidP="00D339FC">
      <w:pPr>
        <w:spacing w:after="120" w:line="360" w:lineRule="auto"/>
        <w:ind w:left="720"/>
        <w:jc w:val="center"/>
        <w:rPr>
          <w:rFonts w:ascii="Arial" w:hAnsi="Arial"/>
          <w:b/>
          <w:bCs/>
          <w:noProof w:val="0"/>
          <w:rtl/>
        </w:rPr>
      </w:pPr>
      <w:r w:rsidRPr="003F01B6">
        <w:rPr>
          <w:rFonts w:ascii="Arial" w:hAnsi="Arial"/>
          <w:b/>
          <w:bCs/>
          <w:noProof w:val="0"/>
          <w:rtl/>
        </w:rPr>
        <w:lastRenderedPageBreak/>
        <w:t>כי אין צורך בדבר."</w:t>
      </w:r>
    </w:p>
    <w:p w:rsidR="003F01B6" w:rsidRPr="003F01B6" w:rsidRDefault="003F01B6" w:rsidP="00D339FC">
      <w:pPr>
        <w:spacing w:after="120" w:line="360" w:lineRule="auto"/>
        <w:ind w:left="720"/>
        <w:jc w:val="both"/>
        <w:rPr>
          <w:rFonts w:ascii="Arial" w:hAnsi="Arial"/>
          <w:noProof w:val="0"/>
          <w:rtl/>
        </w:rPr>
      </w:pPr>
      <w:r w:rsidRPr="003F01B6">
        <w:rPr>
          <w:rFonts w:ascii="Arial" w:hAnsi="Arial"/>
          <w:noProof w:val="0"/>
          <w:rtl/>
        </w:rPr>
        <w:t xml:space="preserve">בפרוטוקול הדיון מיום 20.11.2014 נידונה סוגיית הנכסים המוצגים בנ/1 לעומת צו הירושה בעניין עיזבון המנוח. הבורר בהחלטתו ציין,  בהתייחס לנושא הירושה, כי </w:t>
      </w:r>
      <w:r w:rsidRPr="003F01B6">
        <w:rPr>
          <w:rFonts w:ascii="Arial" w:hAnsi="Arial"/>
          <w:b/>
          <w:bCs/>
          <w:noProof w:val="0"/>
          <w:rtl/>
        </w:rPr>
        <w:t>"...הכרעות בורר, יהיו אשר יהיו, הן לעניין הצדדים שבפניו"</w:t>
      </w:r>
      <w:r w:rsidRPr="003F01B6">
        <w:rPr>
          <w:rFonts w:ascii="Arial" w:hAnsi="Arial"/>
          <w:noProof w:val="0"/>
          <w:rtl/>
        </w:rPr>
        <w:t xml:space="preserve"> (נספח 3 לתצהיר הנתבע 1).  </w:t>
      </w:r>
    </w:p>
    <w:p w:rsidR="003F01B6" w:rsidRPr="003F01B6" w:rsidRDefault="003F01B6" w:rsidP="002E31CA">
      <w:pPr>
        <w:numPr>
          <w:ilvl w:val="0"/>
          <w:numId w:val="1"/>
        </w:numPr>
        <w:spacing w:after="120" w:line="360" w:lineRule="auto"/>
        <w:ind w:left="567" w:hanging="567"/>
        <w:jc w:val="both"/>
        <w:rPr>
          <w:rFonts w:ascii="Arial" w:hAnsi="Arial"/>
          <w:b/>
          <w:bCs/>
          <w:noProof w:val="0"/>
          <w:u w:val="single"/>
          <w:rtl/>
        </w:rPr>
      </w:pPr>
      <w:r w:rsidRPr="003F01B6">
        <w:rPr>
          <w:rFonts w:ascii="Arial" w:hAnsi="Arial"/>
          <w:b/>
          <w:bCs/>
          <w:noProof w:val="0"/>
          <w:u w:val="single"/>
          <w:rtl/>
        </w:rPr>
        <w:t xml:space="preserve">הבורר שב בהכרעתו ומדגיש כי זו מתייחסת ליחסים בין שני האחים, וכי אין בקביעה זו התייחסות ליחסים שבין הנתבע 2 לבין יתר האחים. </w:t>
      </w:r>
    </w:p>
    <w:p w:rsidR="003F01B6" w:rsidRPr="003F01B6" w:rsidRDefault="003F01B6" w:rsidP="002E31CA">
      <w:pPr>
        <w:numPr>
          <w:ilvl w:val="0"/>
          <w:numId w:val="1"/>
        </w:numPr>
        <w:spacing w:after="120" w:line="360" w:lineRule="auto"/>
        <w:ind w:left="567" w:hanging="567"/>
        <w:jc w:val="both"/>
        <w:rPr>
          <w:rFonts w:ascii="Arial" w:hAnsi="Arial"/>
          <w:noProof w:val="0"/>
          <w:rtl/>
        </w:rPr>
      </w:pPr>
      <w:r w:rsidRPr="003F01B6">
        <w:rPr>
          <w:rFonts w:ascii="Arial" w:hAnsi="Arial"/>
          <w:noProof w:val="0"/>
          <w:rtl/>
        </w:rPr>
        <w:t xml:space="preserve">בפסק הבוררות השני נקבע בסעיף 132 כך: </w:t>
      </w:r>
      <w:r w:rsidRPr="003F01B6">
        <w:rPr>
          <w:rFonts w:ascii="Arial" w:hAnsi="Arial"/>
          <w:b/>
          <w:bCs/>
          <w:noProof w:val="0"/>
          <w:rtl/>
        </w:rPr>
        <w:t>" בעניין זה יש להזכיר ולהדגיש, כי התכשיטים והזהב הנם של ההורים במקורם. הצדדים אינם חולקים על כך. התכשיטים והזהב לא הפכו להיות של מי מהצדדים. הויכוח ביניהם נסב על רכוש של אחרים ויש להם חובות כלפיו. גם בפסק בוררות זה אין לשנות מקביעה זו"</w:t>
      </w:r>
      <w:r w:rsidRPr="003F01B6">
        <w:rPr>
          <w:rFonts w:ascii="Arial" w:hAnsi="Arial"/>
          <w:noProof w:val="0"/>
          <w:rtl/>
        </w:rPr>
        <w:t xml:space="preserve">. </w:t>
      </w:r>
    </w:p>
    <w:p w:rsidR="003F01B6" w:rsidRPr="003F01B6" w:rsidRDefault="003F01B6" w:rsidP="002E31CA">
      <w:pPr>
        <w:numPr>
          <w:ilvl w:val="0"/>
          <w:numId w:val="1"/>
        </w:numPr>
        <w:spacing w:after="120" w:line="360" w:lineRule="auto"/>
        <w:ind w:left="567" w:hanging="567"/>
        <w:jc w:val="both"/>
        <w:rPr>
          <w:rFonts w:ascii="Arial" w:hAnsi="Arial"/>
          <w:noProof w:val="0"/>
          <w:rtl/>
        </w:rPr>
      </w:pPr>
      <w:r w:rsidRPr="003F01B6">
        <w:rPr>
          <w:rFonts w:ascii="Arial" w:hAnsi="Arial"/>
          <w:noProof w:val="0"/>
          <w:rtl/>
        </w:rPr>
        <w:t>בפסק הדין מיום 11.5.2020 התייחס בית המשפט לסוגיה, בין היתר, כך:</w:t>
      </w:r>
    </w:p>
    <w:p w:rsidR="003F01B6" w:rsidRPr="003F01B6" w:rsidRDefault="003F01B6" w:rsidP="00F654EF">
      <w:pPr>
        <w:spacing w:after="120" w:line="360" w:lineRule="auto"/>
        <w:ind w:left="1701" w:right="1134"/>
        <w:jc w:val="both"/>
        <w:rPr>
          <w:rFonts w:ascii="Arial" w:hAnsi="Arial"/>
          <w:b/>
          <w:bCs/>
          <w:noProof w:val="0"/>
          <w:rtl/>
        </w:rPr>
      </w:pPr>
      <w:r w:rsidRPr="003F01B6">
        <w:rPr>
          <w:rFonts w:ascii="Arial" w:hAnsi="Arial"/>
          <w:b/>
          <w:bCs/>
          <w:noProof w:val="0"/>
          <w:rtl/>
        </w:rPr>
        <w:t xml:space="preserve">" 19. טענתו של </w:t>
      </w:r>
      <w:r w:rsidR="00F654EF">
        <w:rPr>
          <w:rFonts w:ascii="Arial" w:hAnsi="Arial" w:hint="cs"/>
          <w:b/>
          <w:bCs/>
          <w:noProof w:val="0"/>
          <w:rtl/>
        </w:rPr>
        <w:t>----</w:t>
      </w:r>
      <w:r w:rsidRPr="003F01B6">
        <w:rPr>
          <w:rFonts w:ascii="Arial" w:hAnsi="Arial"/>
          <w:b/>
          <w:bCs/>
          <w:noProof w:val="0"/>
          <w:rtl/>
        </w:rPr>
        <w:t xml:space="preserve"> כי התכשיטים אינם בבעלותו של </w:t>
      </w:r>
      <w:r w:rsidR="00F654EF">
        <w:rPr>
          <w:rFonts w:ascii="Arial" w:hAnsi="Arial" w:hint="cs"/>
          <w:b/>
          <w:bCs/>
          <w:noProof w:val="0"/>
          <w:rtl/>
        </w:rPr>
        <w:t>----</w:t>
      </w:r>
      <w:r w:rsidRPr="003F01B6">
        <w:rPr>
          <w:rFonts w:ascii="Arial" w:hAnsi="Arial"/>
          <w:b/>
          <w:bCs/>
          <w:noProof w:val="0"/>
          <w:rtl/>
        </w:rPr>
        <w:t xml:space="preserve">, אלא של אימם תבדל"א ואביהם ז"ל, הועלתה כבר בכתב הגנתו בסבב הבוררות הקודם (ס' 409 לפסק הבוררות הראשון). אכן, ופסק הבוררות הראשון מתייחס לכך, יש להבחין בין מישור היחסים שבין </w:t>
      </w:r>
      <w:r w:rsidR="00F654EF">
        <w:rPr>
          <w:rFonts w:ascii="Arial" w:hAnsi="Arial" w:hint="cs"/>
          <w:b/>
          <w:bCs/>
          <w:noProof w:val="0"/>
          <w:rtl/>
        </w:rPr>
        <w:t>----</w:t>
      </w:r>
      <w:r w:rsidRPr="003F01B6">
        <w:rPr>
          <w:rFonts w:ascii="Arial" w:hAnsi="Arial"/>
          <w:b/>
          <w:bCs/>
          <w:noProof w:val="0"/>
          <w:rtl/>
        </w:rPr>
        <w:t xml:space="preserve"> ל</w:t>
      </w:r>
      <w:r w:rsidR="00F654EF">
        <w:rPr>
          <w:rFonts w:ascii="Arial" w:hAnsi="Arial" w:hint="cs"/>
          <w:b/>
          <w:bCs/>
          <w:noProof w:val="0"/>
          <w:rtl/>
        </w:rPr>
        <w:t>----</w:t>
      </w:r>
      <w:r w:rsidRPr="003F01B6">
        <w:rPr>
          <w:rFonts w:ascii="Arial" w:hAnsi="Arial"/>
          <w:b/>
          <w:bCs/>
          <w:noProof w:val="0"/>
          <w:rtl/>
        </w:rPr>
        <w:t xml:space="preserve"> לבין מישור היחסים שבין </w:t>
      </w:r>
      <w:r w:rsidR="00F654EF">
        <w:rPr>
          <w:rFonts w:ascii="Arial" w:hAnsi="Arial" w:hint="cs"/>
          <w:b/>
          <w:bCs/>
          <w:noProof w:val="0"/>
          <w:rtl/>
        </w:rPr>
        <w:t>----</w:t>
      </w:r>
      <w:r w:rsidRPr="003F01B6">
        <w:rPr>
          <w:rFonts w:ascii="Arial" w:hAnsi="Arial"/>
          <w:b/>
          <w:bCs/>
          <w:noProof w:val="0"/>
          <w:rtl/>
        </w:rPr>
        <w:t xml:space="preserve"> ליתר היורשים על פי צו הירושה. בפסק הבוררות שלפניי התייחס הבורר ל</w:t>
      </w:r>
      <w:r w:rsidR="00F654EF">
        <w:rPr>
          <w:rFonts w:ascii="Arial" w:hAnsi="Arial" w:hint="cs"/>
          <w:b/>
          <w:bCs/>
          <w:noProof w:val="0"/>
          <w:rtl/>
        </w:rPr>
        <w:t>----</w:t>
      </w:r>
      <w:r w:rsidRPr="003F01B6">
        <w:rPr>
          <w:rFonts w:ascii="Arial" w:hAnsi="Arial"/>
          <w:b/>
          <w:bCs/>
          <w:noProof w:val="0"/>
          <w:rtl/>
        </w:rPr>
        <w:t xml:space="preserve"> כמי שהיה נאמן על התכשיטים של אימו (ס' 128 לפסק הבוררות השני) וציין כי "...יש להזכיר ולהדגיש, כי התכשיטים והזהב הנם של ההורים במקורם. הצדדים אינם חולקים על כך. התכשיטים והזהב לא הפכו להיות של מי מהצדדים. הויכוח ביניהם נסב על רכוש של אחרים ויש להם חובות כלפיו. גם בפסק בוררות זה  אין לשנות מקביעה זו" (ס' 132 לפסק הבוררות השני).בסעיף 135 לפסק הבוררות השני, הבורר ציין את הדברים הבאים: "...כפי שציינתי במערכת היחסים ביניהם, בה התבקש הבורר על ידי בית המשפט להכריע, אין בחשבון שנעשה כדי לשנות מחובתם כלפי האם ובכלל זאת בקשר התכשיטים והזהב הללו". </w:t>
      </w:r>
    </w:p>
    <w:p w:rsidR="003F01B6" w:rsidRPr="003F01B6" w:rsidRDefault="003F01B6" w:rsidP="00F654EF">
      <w:pPr>
        <w:spacing w:after="120" w:line="360" w:lineRule="auto"/>
        <w:ind w:left="1701" w:right="1134"/>
        <w:jc w:val="both"/>
        <w:rPr>
          <w:rFonts w:ascii="Arial" w:hAnsi="Arial"/>
          <w:b/>
          <w:bCs/>
          <w:noProof w:val="0"/>
        </w:rPr>
      </w:pPr>
      <w:r w:rsidRPr="003F01B6">
        <w:rPr>
          <w:rFonts w:ascii="Arial" w:hAnsi="Arial"/>
          <w:b/>
          <w:bCs/>
          <w:noProof w:val="0"/>
          <w:rtl/>
        </w:rPr>
        <w:t xml:space="preserve">כאמור, פסק הבוררות השני מתייחס למישור היחסים שבין </w:t>
      </w:r>
      <w:r w:rsidR="00F654EF">
        <w:rPr>
          <w:rFonts w:ascii="Arial" w:hAnsi="Arial" w:hint="cs"/>
          <w:b/>
          <w:bCs/>
          <w:noProof w:val="0"/>
          <w:rtl/>
        </w:rPr>
        <w:t>----</w:t>
      </w:r>
      <w:r w:rsidRPr="003F01B6">
        <w:rPr>
          <w:rFonts w:ascii="Arial" w:hAnsi="Arial"/>
          <w:b/>
          <w:bCs/>
          <w:noProof w:val="0"/>
          <w:rtl/>
        </w:rPr>
        <w:t xml:space="preserve"> לבין </w:t>
      </w:r>
      <w:r w:rsidR="00F654EF">
        <w:rPr>
          <w:rFonts w:ascii="Arial" w:hAnsi="Arial" w:hint="cs"/>
          <w:b/>
          <w:bCs/>
          <w:noProof w:val="0"/>
          <w:rtl/>
        </w:rPr>
        <w:t>-----</w:t>
      </w:r>
      <w:r w:rsidRPr="003F01B6">
        <w:rPr>
          <w:rFonts w:ascii="Arial" w:hAnsi="Arial"/>
          <w:b/>
          <w:bCs/>
          <w:noProof w:val="0"/>
          <w:rtl/>
        </w:rPr>
        <w:t xml:space="preserve">, ואין בו כדי לשנות מחובתם כלפיי צדדי ג'...."  </w:t>
      </w:r>
    </w:p>
    <w:p w:rsidR="003F01B6" w:rsidRPr="003F01B6" w:rsidRDefault="003F01B6" w:rsidP="00D339FC">
      <w:pPr>
        <w:spacing w:after="120" w:line="360" w:lineRule="auto"/>
        <w:ind w:left="720"/>
        <w:jc w:val="both"/>
        <w:rPr>
          <w:rFonts w:ascii="Arial" w:hAnsi="Arial"/>
          <w:noProof w:val="0"/>
          <w:rtl/>
        </w:rPr>
      </w:pPr>
    </w:p>
    <w:p w:rsidR="003F01B6" w:rsidRPr="003F01B6" w:rsidRDefault="003F01B6" w:rsidP="00AA7B3E">
      <w:pPr>
        <w:numPr>
          <w:ilvl w:val="0"/>
          <w:numId w:val="1"/>
        </w:numPr>
        <w:spacing w:after="120" w:line="360" w:lineRule="auto"/>
        <w:ind w:left="567" w:hanging="567"/>
        <w:jc w:val="both"/>
        <w:rPr>
          <w:rFonts w:ascii="Arial" w:hAnsi="Arial"/>
          <w:noProof w:val="0"/>
        </w:rPr>
      </w:pPr>
      <w:r w:rsidRPr="003F01B6">
        <w:rPr>
          <w:rFonts w:ascii="Arial" w:hAnsi="Arial"/>
          <w:noProof w:val="0"/>
          <w:rtl/>
        </w:rPr>
        <w:lastRenderedPageBreak/>
        <w:t xml:space="preserve">לאור האמור, </w:t>
      </w:r>
      <w:r w:rsidR="002E31CA">
        <w:rPr>
          <w:rFonts w:ascii="Arial" w:hAnsi="Arial" w:hint="cs"/>
          <w:noProof w:val="0"/>
          <w:rtl/>
        </w:rPr>
        <w:t>מאחר ש</w:t>
      </w:r>
      <w:r w:rsidRPr="003F01B6">
        <w:rPr>
          <w:rFonts w:ascii="Arial" w:hAnsi="Arial"/>
          <w:noProof w:val="0"/>
          <w:rtl/>
        </w:rPr>
        <w:t>פסק הבוררות השני מתייחס אך למישור היחסים שבין הנתבע 1 לבין הנתבע 2 לעניין התכשיטים והזהב, ואין בו כדי להוות מעשה בי דין או כדי להשפיע על זכויותיהם של יתר בעלי הדין שלפניי</w:t>
      </w:r>
      <w:r w:rsidR="002E31CA">
        <w:rPr>
          <w:rFonts w:ascii="Arial" w:hAnsi="Arial" w:hint="cs"/>
          <w:noProof w:val="0"/>
          <w:rtl/>
        </w:rPr>
        <w:t xml:space="preserve"> אין </w:t>
      </w:r>
      <w:r w:rsidRPr="003F01B6">
        <w:rPr>
          <w:rFonts w:ascii="Arial" w:hAnsi="Arial"/>
          <w:noProof w:val="0"/>
          <w:rtl/>
        </w:rPr>
        <w:t>מקום להורות על ביטולו שעה שאין בו כדי לפגוע בזכויותיו של התובע.</w:t>
      </w:r>
      <w:r w:rsidR="002E31CA">
        <w:rPr>
          <w:rFonts w:ascii="Arial" w:hAnsi="Arial" w:hint="cs"/>
          <w:noProof w:val="0"/>
          <w:rtl/>
        </w:rPr>
        <w:t xml:space="preserve"> איני מקבלת את הטענה, כי צד שלישי בעל מעמד לבקש ביטול פסק בוררות שניתן שלא בעניינו שעה שהקביעות בו אינן חלות כלפיו, אינן מגבילות אותו ואינן בעלות מעמד ותוקף עבורו. </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הסעד</w:t>
      </w:r>
    </w:p>
    <w:p w:rsidR="00AA7B3E" w:rsidRDefault="00AA7B3E" w:rsidP="00AA7B3E">
      <w:pPr>
        <w:numPr>
          <w:ilvl w:val="0"/>
          <w:numId w:val="1"/>
        </w:numPr>
        <w:spacing w:after="120" w:line="360" w:lineRule="auto"/>
        <w:ind w:left="567" w:hanging="567"/>
        <w:jc w:val="both"/>
        <w:rPr>
          <w:rFonts w:ascii="Arial" w:hAnsi="Arial"/>
          <w:noProof w:val="0"/>
        </w:rPr>
      </w:pPr>
      <w:r>
        <w:rPr>
          <w:rFonts w:ascii="Arial" w:hAnsi="Arial" w:hint="cs"/>
          <w:noProof w:val="0"/>
          <w:rtl/>
        </w:rPr>
        <w:t xml:space="preserve">כאשר התבקש התובע להבהיר את טיבו של הסעד המבוקש - </w:t>
      </w:r>
      <w:r w:rsidR="003F01B6" w:rsidRPr="003F01B6">
        <w:rPr>
          <w:rFonts w:ascii="Arial" w:hAnsi="Arial"/>
          <w:noProof w:val="0"/>
          <w:rtl/>
        </w:rPr>
        <w:t xml:space="preserve">התובע ציין בדיון כי הסעד המבוקש הוא השבה של חלק מהתכשיטים ולא סעד כספי (עמ' 1, ש' 19). </w:t>
      </w:r>
    </w:p>
    <w:p w:rsidR="003F01B6" w:rsidRPr="003F01B6" w:rsidRDefault="003F01B6" w:rsidP="00AA7B3E">
      <w:pPr>
        <w:spacing w:after="120" w:line="360" w:lineRule="auto"/>
        <w:ind w:left="567"/>
        <w:jc w:val="both"/>
        <w:rPr>
          <w:rFonts w:ascii="Arial" w:hAnsi="Arial"/>
          <w:noProof w:val="0"/>
        </w:rPr>
      </w:pPr>
      <w:r w:rsidRPr="003F01B6">
        <w:rPr>
          <w:rFonts w:ascii="Arial" w:hAnsi="Arial"/>
          <w:noProof w:val="0"/>
          <w:rtl/>
        </w:rPr>
        <w:t>פסק הבוררות השני דן בכמות ובשווי של הזהב והתכשיטים, וביטולו בעניין זה משפיעה, לכל היותר, על ביטול החיוב הכספי שהוטל על הנתבע 1, ואין בו כדי להשיג את הסעד שהתבקש</w:t>
      </w:r>
      <w:r w:rsidR="00AA7B3E">
        <w:rPr>
          <w:rFonts w:ascii="Arial" w:hAnsi="Arial" w:hint="cs"/>
          <w:noProof w:val="0"/>
          <w:rtl/>
        </w:rPr>
        <w:t xml:space="preserve"> על ידי התובע</w:t>
      </w:r>
      <w:r w:rsidRPr="003F01B6">
        <w:rPr>
          <w:rFonts w:ascii="Arial" w:hAnsi="Arial"/>
          <w:noProof w:val="0"/>
          <w:rtl/>
        </w:rPr>
        <w:t>.</w:t>
      </w:r>
      <w:r w:rsidR="00AA7B3E">
        <w:rPr>
          <w:rFonts w:ascii="Arial" w:hAnsi="Arial" w:hint="cs"/>
          <w:noProof w:val="0"/>
          <w:rtl/>
        </w:rPr>
        <w:t xml:space="preserve"> כלומר, גם אם היה לתובע מעמד כלשהו והיה עיגון משפטי לביטול פסק הבוררות השני, לא היה בכך כדי להוביל לסעד המבוקש על ידי התובע - השבה. אציין, כי </w:t>
      </w:r>
      <w:r w:rsidRPr="003F01B6">
        <w:rPr>
          <w:rFonts w:ascii="Arial" w:hAnsi="Arial"/>
          <w:noProof w:val="0"/>
          <w:rtl/>
        </w:rPr>
        <w:t xml:space="preserve"> פסק הבוררות הראשון דן בתביעת ההשבה אך לגביו לא התבקש סעד כלשהו. לאור האמור, אינני סבורה כי קבלת התביעה תקנה לתובע את הסעד המבוקש</w:t>
      </w:r>
      <w:r w:rsidR="00AA7B3E">
        <w:rPr>
          <w:rFonts w:ascii="Arial" w:hAnsi="Arial" w:hint="cs"/>
          <w:noProof w:val="0"/>
          <w:rtl/>
        </w:rPr>
        <w:t xml:space="preserve"> </w:t>
      </w:r>
      <w:r w:rsidRPr="003F01B6">
        <w:rPr>
          <w:rFonts w:ascii="Arial" w:hAnsi="Arial"/>
          <w:noProof w:val="0"/>
          <w:rtl/>
        </w:rPr>
        <w:t>- השבת התכשיטים</w:t>
      </w:r>
      <w:r w:rsidR="00AA7B3E">
        <w:rPr>
          <w:rFonts w:ascii="Arial" w:hAnsi="Arial" w:hint="cs"/>
          <w:noProof w:val="0"/>
          <w:rtl/>
        </w:rPr>
        <w:t xml:space="preserve"> ואף מטעם זה, דין התביעה להידחות</w:t>
      </w:r>
      <w:r w:rsidRPr="003F01B6">
        <w:rPr>
          <w:rFonts w:ascii="Arial" w:hAnsi="Arial"/>
          <w:noProof w:val="0"/>
          <w:rtl/>
        </w:rPr>
        <w:t xml:space="preserve">. </w:t>
      </w:r>
    </w:p>
    <w:p w:rsidR="003F01B6" w:rsidRPr="003F01B6" w:rsidRDefault="003F01B6" w:rsidP="00D339FC">
      <w:pPr>
        <w:spacing w:after="120" w:line="360" w:lineRule="auto"/>
        <w:jc w:val="both"/>
        <w:rPr>
          <w:rFonts w:ascii="Arial" w:hAnsi="Arial"/>
          <w:b/>
          <w:bCs/>
          <w:noProof w:val="0"/>
          <w:u w:val="single"/>
          <w:rtl/>
        </w:rPr>
      </w:pPr>
      <w:r w:rsidRPr="003F01B6">
        <w:rPr>
          <w:rFonts w:ascii="Arial" w:hAnsi="Arial"/>
          <w:b/>
          <w:bCs/>
          <w:noProof w:val="0"/>
          <w:u w:val="single"/>
          <w:rtl/>
        </w:rPr>
        <w:t>משמעות החיוב בתשלום בפסק הבוררות השני והשלכותיו לעניין התכשיטים והזהב</w:t>
      </w:r>
    </w:p>
    <w:p w:rsidR="003F01B6" w:rsidRPr="003F01B6" w:rsidRDefault="003F01B6" w:rsidP="00490341">
      <w:pPr>
        <w:numPr>
          <w:ilvl w:val="0"/>
          <w:numId w:val="1"/>
        </w:numPr>
        <w:spacing w:after="120" w:line="360" w:lineRule="auto"/>
        <w:ind w:left="567" w:hanging="567"/>
        <w:jc w:val="both"/>
        <w:rPr>
          <w:rFonts w:ascii="Arial" w:hAnsi="Arial"/>
          <w:noProof w:val="0"/>
          <w:rtl/>
        </w:rPr>
      </w:pPr>
      <w:r w:rsidRPr="003F01B6">
        <w:rPr>
          <w:rFonts w:ascii="Arial" w:hAnsi="Arial"/>
          <w:noProof w:val="0"/>
          <w:rtl/>
        </w:rPr>
        <w:t>בפסק הבוררות השני הבורר הכריע</w:t>
      </w:r>
      <w:r w:rsidR="00490341">
        <w:rPr>
          <w:rFonts w:ascii="Arial" w:hAnsi="Arial" w:hint="cs"/>
          <w:noProof w:val="0"/>
          <w:rtl/>
        </w:rPr>
        <w:t>,</w:t>
      </w:r>
      <w:r w:rsidRPr="003F01B6">
        <w:rPr>
          <w:rFonts w:ascii="Arial" w:hAnsi="Arial"/>
          <w:noProof w:val="0"/>
          <w:rtl/>
        </w:rPr>
        <w:t xml:space="preserve"> כך:</w:t>
      </w:r>
    </w:p>
    <w:p w:rsidR="003F01B6" w:rsidRPr="003F01B6" w:rsidRDefault="003F01B6" w:rsidP="00F654EF">
      <w:pPr>
        <w:spacing w:after="120" w:line="360" w:lineRule="auto"/>
        <w:ind w:left="1440" w:right="1134"/>
        <w:jc w:val="both"/>
        <w:rPr>
          <w:rFonts w:ascii="Arial" w:hAnsi="Arial"/>
          <w:b/>
          <w:bCs/>
          <w:noProof w:val="0"/>
          <w:rtl/>
        </w:rPr>
      </w:pPr>
      <w:r w:rsidRPr="003F01B6">
        <w:rPr>
          <w:rFonts w:ascii="Arial" w:hAnsi="Arial"/>
          <w:b/>
          <w:bCs/>
          <w:noProof w:val="0"/>
          <w:rtl/>
        </w:rPr>
        <w:t xml:space="preserve">"137.1  על </w:t>
      </w:r>
      <w:r w:rsidR="00F654EF">
        <w:rPr>
          <w:rFonts w:ascii="Arial" w:hAnsi="Arial" w:hint="cs"/>
          <w:b/>
          <w:bCs/>
          <w:noProof w:val="0"/>
          <w:rtl/>
        </w:rPr>
        <w:t>----</w:t>
      </w:r>
      <w:r w:rsidRPr="003F01B6">
        <w:rPr>
          <w:rFonts w:ascii="Arial" w:hAnsi="Arial"/>
          <w:b/>
          <w:bCs/>
          <w:noProof w:val="0"/>
          <w:rtl/>
        </w:rPr>
        <w:t xml:space="preserve"> לשלם ל</w:t>
      </w:r>
      <w:r w:rsidR="00F654EF">
        <w:rPr>
          <w:rFonts w:ascii="Arial" w:hAnsi="Arial" w:hint="cs"/>
          <w:b/>
          <w:bCs/>
          <w:noProof w:val="0"/>
          <w:rtl/>
        </w:rPr>
        <w:t>----</w:t>
      </w:r>
      <w:r w:rsidRPr="003F01B6">
        <w:rPr>
          <w:rFonts w:ascii="Arial" w:hAnsi="Arial"/>
          <w:b/>
          <w:bCs/>
          <w:noProof w:val="0"/>
          <w:rtl/>
        </w:rPr>
        <w:t xml:space="preserve"> שווי של 1.5 ק"ג שווי תכשיטי זהב לפי מחיר של 152.38 ₪ לגר' זהב, סה"כ 228,570 ₪.</w:t>
      </w:r>
    </w:p>
    <w:p w:rsidR="003F01B6" w:rsidRPr="003F01B6" w:rsidRDefault="003F01B6" w:rsidP="00F654EF">
      <w:pPr>
        <w:spacing w:after="120" w:line="360" w:lineRule="auto"/>
        <w:ind w:left="1440"/>
        <w:jc w:val="both"/>
        <w:rPr>
          <w:rFonts w:ascii="Arial" w:hAnsi="Arial"/>
          <w:noProof w:val="0"/>
          <w:rtl/>
        </w:rPr>
      </w:pPr>
      <w:r w:rsidRPr="003F01B6">
        <w:rPr>
          <w:rFonts w:ascii="Arial" w:hAnsi="Arial"/>
          <w:b/>
          <w:bCs/>
          <w:noProof w:val="0"/>
          <w:rtl/>
        </w:rPr>
        <w:t xml:space="preserve">137.2 למרות האמור לעיל, אני נותן בידי </w:t>
      </w:r>
      <w:r w:rsidR="00F654EF">
        <w:rPr>
          <w:rFonts w:ascii="Arial" w:hAnsi="Arial" w:hint="cs"/>
          <w:b/>
          <w:bCs/>
          <w:noProof w:val="0"/>
          <w:rtl/>
        </w:rPr>
        <w:t>----</w:t>
      </w:r>
      <w:r w:rsidRPr="003F01B6">
        <w:rPr>
          <w:rFonts w:ascii="Arial" w:hAnsi="Arial"/>
          <w:b/>
          <w:bCs/>
          <w:noProof w:val="0"/>
          <w:rtl/>
        </w:rPr>
        <w:t xml:space="preserve"> הזדמנות להעביר את התכשיטים במשקל של 660 גר' אותם הציג בהליך הבוררות לידי </w:t>
      </w:r>
      <w:r w:rsidR="00F654EF">
        <w:rPr>
          <w:rFonts w:ascii="Arial" w:hAnsi="Arial" w:hint="cs"/>
          <w:b/>
          <w:bCs/>
          <w:noProof w:val="0"/>
          <w:rtl/>
        </w:rPr>
        <w:t>-----</w:t>
      </w:r>
      <w:r w:rsidRPr="003F01B6">
        <w:rPr>
          <w:rFonts w:ascii="Arial" w:hAnsi="Arial"/>
          <w:b/>
          <w:bCs/>
          <w:noProof w:val="0"/>
          <w:rtl/>
        </w:rPr>
        <w:t xml:space="preserve"> תוך 15 יום ממועד מתן פסק בוררות זה ולהשלים תוך 15 יום נוספים תשלום שווי היתרה בסך של (228,570 ₪ בניכוי סך של 100,571 ₪) 127,999 ₪".</w:t>
      </w:r>
    </w:p>
    <w:p w:rsidR="00EE611B" w:rsidRDefault="003F01B6" w:rsidP="00EE611B">
      <w:pPr>
        <w:numPr>
          <w:ilvl w:val="0"/>
          <w:numId w:val="1"/>
        </w:numPr>
        <w:spacing w:after="120" w:line="360" w:lineRule="auto"/>
        <w:ind w:left="567" w:hanging="567"/>
        <w:jc w:val="both"/>
        <w:rPr>
          <w:rFonts w:ascii="Arial" w:hAnsi="Arial"/>
          <w:noProof w:val="0"/>
        </w:rPr>
      </w:pPr>
      <w:r w:rsidRPr="003F01B6">
        <w:rPr>
          <w:rFonts w:ascii="Arial" w:hAnsi="Arial"/>
          <w:noProof w:val="0"/>
          <w:rtl/>
        </w:rPr>
        <w:t>לטענת הנתבע 1, כפועל יוצא מתשלום מלוא התמורה שנקבעה כשווי מלוא התכשיטים והזהב, הוא רכש את זכותם של התובע ויתר בעלי הדין בתכשיטים</w:t>
      </w:r>
      <w:r w:rsidR="00EE611B">
        <w:rPr>
          <w:rFonts w:ascii="Arial" w:hAnsi="Arial" w:hint="cs"/>
          <w:noProof w:val="0"/>
          <w:rtl/>
        </w:rPr>
        <w:t>.</w:t>
      </w:r>
      <w:r w:rsidRPr="003F01B6">
        <w:rPr>
          <w:rFonts w:ascii="Arial" w:hAnsi="Arial"/>
          <w:noProof w:val="0"/>
          <w:rtl/>
        </w:rPr>
        <w:t xml:space="preserve"> </w:t>
      </w:r>
    </w:p>
    <w:p w:rsidR="003F01B6" w:rsidRPr="003F01B6" w:rsidRDefault="003F01B6" w:rsidP="00EE611B">
      <w:pPr>
        <w:spacing w:after="120" w:line="360" w:lineRule="auto"/>
        <w:ind w:left="567"/>
        <w:jc w:val="both"/>
        <w:rPr>
          <w:rFonts w:ascii="Arial" w:hAnsi="Arial"/>
          <w:noProof w:val="0"/>
          <w:rtl/>
        </w:rPr>
      </w:pPr>
      <w:r w:rsidRPr="003F01B6">
        <w:rPr>
          <w:rFonts w:ascii="Arial" w:hAnsi="Arial"/>
          <w:noProof w:val="0"/>
          <w:rtl/>
        </w:rPr>
        <w:t xml:space="preserve">נוכח </w:t>
      </w:r>
      <w:r w:rsidR="00EE611B">
        <w:rPr>
          <w:rFonts w:ascii="Arial" w:hAnsi="Arial" w:hint="cs"/>
          <w:noProof w:val="0"/>
          <w:rtl/>
        </w:rPr>
        <w:t>הקביעה, כי</w:t>
      </w:r>
      <w:r w:rsidRPr="003F01B6">
        <w:rPr>
          <w:rFonts w:ascii="Arial" w:hAnsi="Arial"/>
          <w:noProof w:val="0"/>
          <w:rtl/>
        </w:rPr>
        <w:t xml:space="preserve">  פסק הבוררות מתייחס אך למישור הי</w:t>
      </w:r>
      <w:r w:rsidR="00490341">
        <w:rPr>
          <w:rFonts w:ascii="Arial" w:hAnsi="Arial"/>
          <w:noProof w:val="0"/>
          <w:rtl/>
        </w:rPr>
        <w:t>חסים שבין הנתבע 1 לבין הנתבע 2</w:t>
      </w:r>
      <w:r w:rsidR="00490341">
        <w:rPr>
          <w:rFonts w:ascii="Arial" w:hAnsi="Arial" w:hint="cs"/>
          <w:noProof w:val="0"/>
          <w:rtl/>
        </w:rPr>
        <w:t xml:space="preserve"> וכפי שנקבע במפורש ובצורה ברורה על ידי הבורר - ההכרעות במסגרת ההליך שהתנהל בין הנתבעים 1-2 לא הקנו זכויות בעלות בתכשיטים ובזהב</w:t>
      </w:r>
      <w:r w:rsidR="00EE611B">
        <w:rPr>
          <w:rFonts w:ascii="Arial" w:hAnsi="Arial" w:hint="cs"/>
          <w:noProof w:val="0"/>
          <w:rtl/>
        </w:rPr>
        <w:t>;</w:t>
      </w:r>
      <w:r w:rsidR="00490341">
        <w:rPr>
          <w:rFonts w:ascii="Arial" w:hAnsi="Arial" w:hint="cs"/>
          <w:noProof w:val="0"/>
          <w:rtl/>
        </w:rPr>
        <w:t xml:space="preserve"> </w:t>
      </w:r>
      <w:r w:rsidR="00EE611B">
        <w:rPr>
          <w:rFonts w:ascii="Arial" w:hAnsi="Arial" w:hint="cs"/>
          <w:noProof w:val="0"/>
          <w:rtl/>
        </w:rPr>
        <w:t>ה</w:t>
      </w:r>
      <w:r w:rsidRPr="003F01B6">
        <w:rPr>
          <w:rFonts w:ascii="Arial" w:hAnsi="Arial"/>
          <w:noProof w:val="0"/>
          <w:rtl/>
        </w:rPr>
        <w:t>נתבע 2 אינו בעל מלוא הזכויות בתכשיטים ובזהב, ו</w:t>
      </w:r>
      <w:r w:rsidR="00EE611B">
        <w:rPr>
          <w:rFonts w:ascii="Arial" w:hAnsi="Arial" w:hint="cs"/>
          <w:noProof w:val="0"/>
          <w:rtl/>
        </w:rPr>
        <w:t xml:space="preserve">על כן </w:t>
      </w:r>
      <w:r w:rsidRPr="003F01B6">
        <w:rPr>
          <w:rFonts w:ascii="Arial" w:hAnsi="Arial"/>
          <w:noProof w:val="0"/>
          <w:rtl/>
        </w:rPr>
        <w:t xml:space="preserve">אין </w:t>
      </w:r>
      <w:r w:rsidR="00490341">
        <w:rPr>
          <w:rFonts w:ascii="Arial" w:hAnsi="Arial" w:hint="cs"/>
          <w:noProof w:val="0"/>
          <w:rtl/>
        </w:rPr>
        <w:t>בקביעות בפסק הבוררות השני ביחס ל</w:t>
      </w:r>
      <w:r w:rsidRPr="003F01B6">
        <w:rPr>
          <w:rFonts w:ascii="Arial" w:hAnsi="Arial"/>
          <w:noProof w:val="0"/>
          <w:rtl/>
        </w:rPr>
        <w:t>תשלום בו חויב הנתבע 1 כדי להעניק לנתבע 1 זכויות בתכשיטים ובזהב. לפיכך, טענתו של הנתבע 1 נדחית.</w:t>
      </w:r>
    </w:p>
    <w:p w:rsidR="003F01B6" w:rsidRPr="003F01B6" w:rsidRDefault="003F01B6" w:rsidP="00D339FC">
      <w:pPr>
        <w:spacing w:after="120" w:line="360" w:lineRule="auto"/>
        <w:ind w:left="720"/>
        <w:rPr>
          <w:rFonts w:ascii="Arial" w:hAnsi="Arial"/>
          <w:noProof w:val="0"/>
        </w:rPr>
      </w:pPr>
    </w:p>
    <w:p w:rsidR="003F01B6" w:rsidRPr="003F01B6" w:rsidRDefault="003F01B6" w:rsidP="00EE611B">
      <w:pPr>
        <w:numPr>
          <w:ilvl w:val="0"/>
          <w:numId w:val="1"/>
        </w:numPr>
        <w:spacing w:after="120" w:line="360" w:lineRule="auto"/>
        <w:ind w:left="567" w:hanging="567"/>
        <w:jc w:val="both"/>
        <w:rPr>
          <w:rFonts w:ascii="Arial" w:hAnsi="Arial"/>
          <w:noProof w:val="0"/>
          <w:rtl/>
        </w:rPr>
      </w:pPr>
      <w:r w:rsidRPr="003F01B6">
        <w:rPr>
          <w:rFonts w:ascii="Arial" w:hAnsi="Arial"/>
          <w:noProof w:val="0"/>
          <w:rtl/>
        </w:rPr>
        <w:t xml:space="preserve">לטענת הנתבע 2, התשלום שהנתבע 1 חויב בו בפסק הבוררות השני בגובה שווי התכשיטים והזהב הוא פיצוי </w:t>
      </w:r>
      <w:r w:rsidRPr="00EE611B">
        <w:rPr>
          <w:rFonts w:ascii="Arial" w:hAnsi="Arial"/>
          <w:noProof w:val="0"/>
          <w:rtl/>
        </w:rPr>
        <w:t>אישי שלו בשל אי עמידתו של הנתבע 1 בהתחייבותו להשיב לידיו את התכשיטים והזהב כפי שנקבע בפסק הבוררות הראשון;</w:t>
      </w:r>
      <w:r w:rsidR="00BD18B5" w:rsidRPr="00EE611B">
        <w:rPr>
          <w:rFonts w:ascii="Arial" w:hAnsi="Arial" w:hint="cs"/>
          <w:noProof w:val="0"/>
          <w:rtl/>
        </w:rPr>
        <w:t xml:space="preserve"> בהליך שלפניי ציין בא כוחו כי הוא לא טען שהתכשיטים והזהב הם שלו (עמ' 31, ש' 3) אך הפיצוי הוא אישי שלו.</w:t>
      </w:r>
      <w:r w:rsidR="00BD18B5">
        <w:rPr>
          <w:rFonts w:ascii="Arial" w:hAnsi="Arial" w:hint="cs"/>
          <w:noProof w:val="0"/>
          <w:rtl/>
        </w:rPr>
        <w:t xml:space="preserve"> </w:t>
      </w:r>
      <w:r w:rsidRPr="003F01B6">
        <w:rPr>
          <w:rFonts w:ascii="Arial" w:hAnsi="Arial"/>
          <w:noProof w:val="0"/>
          <w:rtl/>
        </w:rPr>
        <w:t xml:space="preserve"> בכתב התביעה בהליך הבוררות השני עתר הנתבע 2 למתן פסק דין כספי בשווי הריאלי של התכשיטים בכדי שיוכל לפעול לאכיפת פסק הבורר (נספח 8 לסיכומי הנתבע 1).  בתצהיר מיום 15.3.2019 שצורף לכתב התביעה שהגיש הנתבע 2 בהליך הבוררות (נספח 9 לסיכומי הנתבע 1),  הוא התייחס לכך שהנתבע 1 סיכל את האפשרות לבצע את פסק הבוררות הראשון ולהשיב לידיו את התכשיטים, ו</w:t>
      </w:r>
      <w:r w:rsidR="00EE611B">
        <w:rPr>
          <w:rFonts w:ascii="Arial" w:hAnsi="Arial" w:hint="cs"/>
          <w:noProof w:val="0"/>
          <w:rtl/>
        </w:rPr>
        <w:t xml:space="preserve">ציין, </w:t>
      </w:r>
      <w:r w:rsidRPr="003F01B6">
        <w:rPr>
          <w:rFonts w:ascii="Arial" w:hAnsi="Arial"/>
          <w:noProof w:val="0"/>
          <w:rtl/>
        </w:rPr>
        <w:t>כדלקמן:</w:t>
      </w:r>
    </w:p>
    <w:p w:rsidR="003F01B6" w:rsidRPr="003F01B6" w:rsidRDefault="003F01B6" w:rsidP="00D339FC">
      <w:pPr>
        <w:spacing w:after="120" w:line="360" w:lineRule="auto"/>
        <w:ind w:left="1701" w:right="1276"/>
        <w:jc w:val="both"/>
        <w:rPr>
          <w:rFonts w:ascii="Arial" w:hAnsi="Arial"/>
          <w:b/>
          <w:bCs/>
          <w:noProof w:val="0"/>
          <w:rtl/>
        </w:rPr>
      </w:pPr>
      <w:r w:rsidRPr="003F01B6">
        <w:rPr>
          <w:rFonts w:ascii="Arial" w:hAnsi="Arial"/>
          <w:b/>
          <w:bCs/>
          <w:noProof w:val="0"/>
          <w:rtl/>
        </w:rPr>
        <w:t xml:space="preserve">"23...בכך לא רק שביזה באופן נואל את ההליך, הבורר והצד שכנגד, אלא שגרם בידיו ממש לצורך בתביעה נוספת לכימות שווי הזהב </w:t>
      </w:r>
      <w:r w:rsidRPr="003F01B6">
        <w:rPr>
          <w:rFonts w:ascii="Arial" w:hAnsi="Arial"/>
          <w:b/>
          <w:bCs/>
          <w:noProof w:val="0"/>
          <w:u w:val="single"/>
          <w:rtl/>
        </w:rPr>
        <w:t>ולחיובו בתשלום תמורתו חלף השבתו</w:t>
      </w:r>
      <w:r w:rsidRPr="003F01B6">
        <w:rPr>
          <w:rFonts w:ascii="Arial" w:hAnsi="Arial"/>
          <w:b/>
          <w:bCs/>
          <w:noProof w:val="0"/>
          <w:rtl/>
        </w:rPr>
        <w:t xml:space="preserve"> אשר הוא עצמו הפך אותה לבלתי אפשרית..."  </w:t>
      </w:r>
      <w:r w:rsidRPr="003F01B6">
        <w:rPr>
          <w:rFonts w:ascii="Arial" w:hAnsi="Arial"/>
          <w:noProof w:val="0"/>
          <w:rtl/>
        </w:rPr>
        <w:t>(הדגשה שלי יש"ש).</w:t>
      </w:r>
    </w:p>
    <w:p w:rsidR="003F01B6" w:rsidRPr="003F01B6" w:rsidRDefault="003F01B6" w:rsidP="007A2A5F">
      <w:pPr>
        <w:numPr>
          <w:ilvl w:val="0"/>
          <w:numId w:val="1"/>
        </w:numPr>
        <w:spacing w:after="120" w:line="360" w:lineRule="auto"/>
        <w:ind w:left="567" w:hanging="567"/>
        <w:jc w:val="both"/>
        <w:rPr>
          <w:rFonts w:ascii="Arial" w:hAnsi="Arial"/>
          <w:noProof w:val="0"/>
        </w:rPr>
      </w:pPr>
      <w:r w:rsidRPr="003F01B6">
        <w:rPr>
          <w:rFonts w:ascii="Arial" w:hAnsi="Arial"/>
          <w:noProof w:val="0"/>
          <w:rtl/>
        </w:rPr>
        <w:t xml:space="preserve">לא מצאתי בפסק הבוררות השני אזכור </w:t>
      </w:r>
      <w:r w:rsidR="007A2A5F">
        <w:rPr>
          <w:rFonts w:ascii="Arial" w:hAnsi="Arial" w:hint="cs"/>
          <w:noProof w:val="0"/>
          <w:rtl/>
        </w:rPr>
        <w:t xml:space="preserve">מפורש </w:t>
      </w:r>
      <w:r w:rsidRPr="003F01B6">
        <w:rPr>
          <w:rFonts w:ascii="Arial" w:hAnsi="Arial"/>
          <w:noProof w:val="0"/>
          <w:rtl/>
        </w:rPr>
        <w:t>של מנגנון פיצוי</w:t>
      </w:r>
      <w:r w:rsidR="003C58FA">
        <w:rPr>
          <w:rFonts w:ascii="Arial" w:hAnsi="Arial" w:hint="cs"/>
          <w:noProof w:val="0"/>
          <w:rtl/>
        </w:rPr>
        <w:t xml:space="preserve"> </w:t>
      </w:r>
      <w:r w:rsidR="002F44DE" w:rsidRPr="00EE611B">
        <w:rPr>
          <w:rFonts w:ascii="Arial" w:hAnsi="Arial" w:hint="cs"/>
          <w:noProof w:val="0"/>
          <w:rtl/>
        </w:rPr>
        <w:t>אישי</w:t>
      </w:r>
      <w:r w:rsidR="007A2A5F">
        <w:rPr>
          <w:rFonts w:ascii="Arial" w:hAnsi="Arial" w:hint="cs"/>
          <w:noProof w:val="0"/>
          <w:rtl/>
        </w:rPr>
        <w:t xml:space="preserve">. </w:t>
      </w:r>
      <w:r w:rsidRPr="003F01B6">
        <w:rPr>
          <w:rFonts w:ascii="Arial" w:hAnsi="Arial"/>
          <w:noProof w:val="0"/>
          <w:rtl/>
        </w:rPr>
        <w:t xml:space="preserve">הנתבע 2 הצהיר כי מדובר בכימות שווי התכשיטים והזהב וחיוב בתשלום במקום השבת התכשיטים והזהב, כך שסביר להניח שהסעד שניתן הוא זה שהתבקש. </w:t>
      </w:r>
    </w:p>
    <w:p w:rsidR="003F01B6" w:rsidRPr="003F01B6" w:rsidRDefault="003F01B6" w:rsidP="00C6170F">
      <w:pPr>
        <w:spacing w:after="120" w:line="360" w:lineRule="auto"/>
        <w:ind w:left="567"/>
        <w:jc w:val="both"/>
        <w:rPr>
          <w:rFonts w:ascii="Arial" w:hAnsi="Arial"/>
          <w:noProof w:val="0"/>
        </w:rPr>
      </w:pPr>
      <w:r w:rsidRPr="003F01B6">
        <w:rPr>
          <w:rFonts w:ascii="Arial" w:hAnsi="Arial"/>
          <w:noProof w:val="0"/>
          <w:rtl/>
        </w:rPr>
        <w:t>בהקשר זה, מבלי לקבוע מסמרות</w:t>
      </w:r>
      <w:r w:rsidR="00E73070">
        <w:rPr>
          <w:rFonts w:ascii="Arial" w:hAnsi="Arial" w:hint="cs"/>
          <w:noProof w:val="0"/>
          <w:rtl/>
        </w:rPr>
        <w:t xml:space="preserve"> ובזהירות הנדרשת</w:t>
      </w:r>
      <w:r w:rsidRPr="003F01B6">
        <w:rPr>
          <w:rFonts w:ascii="Arial" w:hAnsi="Arial"/>
          <w:noProof w:val="0"/>
          <w:rtl/>
        </w:rPr>
        <w:t xml:space="preserve"> , הבאתי בחשבון את התייחסותו של כבוד הבורר בפסק הבוררות הראשון ליחסיו המיוחדים של הנתבע 2 עם אביו המנוח בהתייחס לשימוש בכספים, ולא נשללת האפשרות כי ניתן ללמוד מכך אף לתפקידו כמעין נאמן על התכשיטים והזהב השייכים להוריו</w:t>
      </w:r>
      <w:r w:rsidR="00A35A48">
        <w:rPr>
          <w:rFonts w:ascii="Arial" w:hAnsi="Arial" w:hint="cs"/>
          <w:noProof w:val="0"/>
          <w:rtl/>
        </w:rPr>
        <w:t xml:space="preserve"> </w:t>
      </w:r>
      <w:r w:rsidR="00A35A48" w:rsidRPr="00C95EFA">
        <w:rPr>
          <w:rFonts w:ascii="Arial" w:hAnsi="Arial" w:hint="cs"/>
          <w:noProof w:val="0"/>
          <w:rtl/>
        </w:rPr>
        <w:t>(ראו לעניין זה גם את התייחסות בא כוחו בדיון עמ' 4, ש' 1)</w:t>
      </w:r>
      <w:r w:rsidRPr="003F01B6">
        <w:rPr>
          <w:rFonts w:ascii="Arial" w:hAnsi="Arial"/>
          <w:noProof w:val="0"/>
          <w:rtl/>
        </w:rPr>
        <w:t>.</w:t>
      </w:r>
      <w:r w:rsidR="00BD18B5">
        <w:rPr>
          <w:rFonts w:ascii="Arial" w:hAnsi="Arial" w:hint="cs"/>
          <w:noProof w:val="0"/>
          <w:rtl/>
        </w:rPr>
        <w:t xml:space="preserve"> </w:t>
      </w:r>
      <w:r w:rsidRPr="003F01B6">
        <w:rPr>
          <w:rFonts w:ascii="Arial" w:hAnsi="Arial"/>
          <w:noProof w:val="0"/>
          <w:rtl/>
        </w:rPr>
        <w:t xml:space="preserve"> </w:t>
      </w:r>
      <w:r w:rsidRPr="00C95EFA">
        <w:rPr>
          <w:rFonts w:ascii="Arial" w:hAnsi="Arial"/>
          <w:noProof w:val="0"/>
          <w:rtl/>
        </w:rPr>
        <w:t>מתוך כך ניתן ללמוד לכאורה שמשעה שלא הושבו התכשיטים והזהב לידיו, נפסק שווים והועבר לידי הנתבע 2 כמי ששימש מעין נאמן עליהם</w:t>
      </w:r>
      <w:r w:rsidRPr="003F01B6">
        <w:rPr>
          <w:rFonts w:ascii="Arial" w:hAnsi="Arial"/>
          <w:noProof w:val="0"/>
          <w:rtl/>
        </w:rPr>
        <w:t xml:space="preserve"> (ראו סעיף 56 לפסק הבוררות הראשון; סעיף 441 בו נפסק כי מסמך נ/1 לא ציווה לנתבע 2 את הרכוש וגם הוא עצמו לא ביקש ולא סבר כך; סעיף 442; סעיף 478; סעיף 479 בו נפסק כי הנתבע 2 טען שקיבל מהאב כספים שהופקדו בידיו הנאמנות למשמורת, תוך שהורשה להשתמש בהם לצרכיו). </w:t>
      </w:r>
    </w:p>
    <w:p w:rsidR="003F01B6" w:rsidRPr="003F01B6" w:rsidRDefault="00C95EFA" w:rsidP="007A2A5F">
      <w:pPr>
        <w:numPr>
          <w:ilvl w:val="0"/>
          <w:numId w:val="1"/>
        </w:numPr>
        <w:spacing w:after="120" w:line="360" w:lineRule="auto"/>
        <w:ind w:left="567" w:hanging="567"/>
        <w:jc w:val="both"/>
        <w:rPr>
          <w:rFonts w:ascii="Arial" w:hAnsi="Arial"/>
          <w:noProof w:val="0"/>
          <w:rtl/>
        </w:rPr>
      </w:pPr>
      <w:r>
        <w:rPr>
          <w:rFonts w:ascii="Arial" w:hAnsi="Arial" w:hint="cs"/>
          <w:noProof w:val="0"/>
          <w:rtl/>
        </w:rPr>
        <w:t>בהסתמך על</w:t>
      </w:r>
      <w:r w:rsidR="003F01B6" w:rsidRPr="003F01B6">
        <w:rPr>
          <w:rFonts w:ascii="Arial" w:hAnsi="Arial"/>
          <w:noProof w:val="0"/>
          <w:rtl/>
        </w:rPr>
        <w:t xml:space="preserve"> האמור לעיל </w:t>
      </w:r>
      <w:r>
        <w:rPr>
          <w:rFonts w:ascii="Arial" w:hAnsi="Arial" w:hint="cs"/>
          <w:noProof w:val="0"/>
          <w:rtl/>
        </w:rPr>
        <w:t xml:space="preserve">מתגבשת המסקנה, </w:t>
      </w:r>
      <w:r w:rsidR="003F01B6" w:rsidRPr="003F01B6">
        <w:rPr>
          <w:rFonts w:ascii="Arial" w:hAnsi="Arial"/>
          <w:noProof w:val="0"/>
          <w:rtl/>
        </w:rPr>
        <w:t>כי הנתבע 1 חויב במלוא שווי התכשיטים והזהב במקום השבת התכשיטים והזהב לידי הנתבע 2,</w:t>
      </w:r>
      <w:r w:rsidR="003F01B6" w:rsidRPr="007A2A5F">
        <w:rPr>
          <w:rFonts w:ascii="Arial" w:hAnsi="Arial"/>
          <w:noProof w:val="0"/>
          <w:rtl/>
        </w:rPr>
        <w:t xml:space="preserve"> בהתאם להתחייבות ביניהם</w:t>
      </w:r>
      <w:r w:rsidR="003F01B6" w:rsidRPr="003F01B6">
        <w:rPr>
          <w:rFonts w:ascii="Arial" w:hAnsi="Arial"/>
          <w:noProof w:val="0"/>
          <w:rtl/>
        </w:rPr>
        <w:t>, מבלי שיש בכך כדי להשליך על מי מבעלי הדין שלפניי, ואלו רשאים ל</w:t>
      </w:r>
      <w:r>
        <w:rPr>
          <w:rFonts w:ascii="Arial" w:hAnsi="Arial" w:hint="cs"/>
          <w:noProof w:val="0"/>
          <w:rtl/>
        </w:rPr>
        <w:t xml:space="preserve">פעול כדי למצות את זכויותיהם הנטענות </w:t>
      </w:r>
      <w:r w:rsidR="003F01B6" w:rsidRPr="003F01B6">
        <w:rPr>
          <w:rFonts w:ascii="Arial" w:hAnsi="Arial"/>
          <w:noProof w:val="0"/>
          <w:rtl/>
        </w:rPr>
        <w:t xml:space="preserve">כפי שימצאו לנכון. </w:t>
      </w:r>
      <w:r w:rsidRPr="00C95EFA">
        <w:rPr>
          <w:rFonts w:ascii="Arial" w:hAnsi="Arial" w:hint="cs"/>
          <w:noProof w:val="0"/>
          <w:rtl/>
        </w:rPr>
        <w:t xml:space="preserve">עוד אציין, כי </w:t>
      </w:r>
      <w:r>
        <w:rPr>
          <w:rFonts w:ascii="Arial" w:hAnsi="Arial" w:hint="cs"/>
          <w:noProof w:val="0"/>
          <w:rtl/>
        </w:rPr>
        <w:t xml:space="preserve">במסגרת התביעה כאן התבקש גם סעד למינוי מנהל עזבון אולם </w:t>
      </w:r>
      <w:r w:rsidR="003F01B6" w:rsidRPr="003F01B6">
        <w:rPr>
          <w:rFonts w:ascii="Arial" w:hAnsi="Arial"/>
          <w:noProof w:val="0"/>
          <w:rtl/>
        </w:rPr>
        <w:t>תביעה למינוי מנהל עיזבון מקומה בהליך מתאים נפרד.</w:t>
      </w:r>
    </w:p>
    <w:p w:rsidR="003F01B6" w:rsidRPr="003F01B6" w:rsidRDefault="003F01B6" w:rsidP="00D339FC">
      <w:pPr>
        <w:spacing w:after="120" w:line="360" w:lineRule="auto"/>
        <w:ind w:left="720"/>
        <w:rPr>
          <w:rFonts w:ascii="Arial" w:hAnsi="Arial"/>
          <w:noProof w:val="0"/>
        </w:rPr>
      </w:pPr>
    </w:p>
    <w:p w:rsidR="003F01B6" w:rsidRPr="003F01B6" w:rsidRDefault="003F01B6" w:rsidP="00C95EFA">
      <w:pPr>
        <w:spacing w:after="120" w:line="360" w:lineRule="auto"/>
        <w:ind w:left="567"/>
        <w:jc w:val="both"/>
        <w:rPr>
          <w:rFonts w:ascii="Arial" w:hAnsi="Arial"/>
          <w:noProof w:val="0"/>
          <w:rtl/>
        </w:rPr>
      </w:pPr>
      <w:r w:rsidRPr="00C95EFA">
        <w:rPr>
          <w:rFonts w:ascii="Arial" w:hAnsi="Arial"/>
          <w:noProof w:val="0"/>
          <w:rtl/>
        </w:rPr>
        <w:lastRenderedPageBreak/>
        <w:t>עם זאת</w:t>
      </w:r>
      <w:r w:rsidRPr="003F01B6">
        <w:rPr>
          <w:rFonts w:ascii="Arial" w:hAnsi="Arial"/>
          <w:noProof w:val="0"/>
          <w:rtl/>
        </w:rPr>
        <w:t xml:space="preserve">, כולי תקוה כי </w:t>
      </w:r>
      <w:r w:rsidRPr="00C95EFA">
        <w:rPr>
          <w:rFonts w:ascii="Arial" w:hAnsi="Arial"/>
          <w:noProof w:val="0"/>
          <w:rtl/>
        </w:rPr>
        <w:t>לאור האמור</w:t>
      </w:r>
      <w:r w:rsidRPr="003F01B6">
        <w:rPr>
          <w:rFonts w:ascii="Arial" w:hAnsi="Arial"/>
          <w:noProof w:val="0"/>
          <w:rtl/>
        </w:rPr>
        <w:t xml:space="preserve"> בפסק דין זה, יבואו הצדדים בדברים בכדי ליישב את </w:t>
      </w:r>
      <w:r w:rsidR="00C95EFA">
        <w:rPr>
          <w:rFonts w:ascii="Arial" w:hAnsi="Arial" w:hint="cs"/>
          <w:noProof w:val="0"/>
          <w:rtl/>
        </w:rPr>
        <w:t xml:space="preserve">כלל </w:t>
      </w:r>
      <w:r w:rsidRPr="003F01B6">
        <w:rPr>
          <w:rFonts w:ascii="Arial" w:hAnsi="Arial"/>
          <w:noProof w:val="0"/>
          <w:rtl/>
        </w:rPr>
        <w:t>המחלוקות בדרכי נעם ושלום וללא צורך בהליך משפטי נוסף.</w:t>
      </w:r>
    </w:p>
    <w:p w:rsidR="00C2707B" w:rsidRDefault="003F01B6" w:rsidP="00C2707B">
      <w:pPr>
        <w:numPr>
          <w:ilvl w:val="0"/>
          <w:numId w:val="1"/>
        </w:numPr>
        <w:spacing w:after="120" w:line="360" w:lineRule="auto"/>
        <w:ind w:left="567" w:hanging="567"/>
        <w:jc w:val="both"/>
        <w:rPr>
          <w:rFonts w:ascii="Arial" w:hAnsi="Arial"/>
          <w:noProof w:val="0"/>
        </w:rPr>
      </w:pPr>
      <w:r w:rsidRPr="003F01B6">
        <w:rPr>
          <w:rFonts w:ascii="Arial" w:hAnsi="Arial"/>
          <w:noProof w:val="0"/>
          <w:rtl/>
        </w:rPr>
        <w:t xml:space="preserve">לאור האמור, </w:t>
      </w:r>
      <w:r w:rsidR="00C2707B">
        <w:rPr>
          <w:rFonts w:ascii="Arial" w:hAnsi="Arial" w:hint="cs"/>
          <w:noProof w:val="0"/>
          <w:rtl/>
        </w:rPr>
        <w:t>בהסתמך על הקביעות בדבר העדר מעמד לתובע ביחס לפסק הבוררות ובדבר תחולת פסק הבוררות רק על הצדדים לו; מאחר והסעד המבוקש על ידי התובע בפועל אינו תוצאה של ביטול פסק הבוררות השני (הסעד שהתבקש בהליך כאן)</w:t>
      </w:r>
      <w:r w:rsidR="007A2A5F">
        <w:rPr>
          <w:rFonts w:ascii="Arial" w:hAnsi="Arial" w:hint="cs"/>
          <w:noProof w:val="0"/>
          <w:rtl/>
        </w:rPr>
        <w:t>; היות ו</w:t>
      </w:r>
      <w:r w:rsidR="00C2707B">
        <w:rPr>
          <w:rFonts w:ascii="Arial" w:hAnsi="Arial" w:hint="cs"/>
          <w:noProof w:val="0"/>
          <w:rtl/>
        </w:rPr>
        <w:t xml:space="preserve">אין בפסק הבוררות כדי לחייב את התובע או לפגוע בזכויותיו - </w:t>
      </w:r>
      <w:r w:rsidRPr="003F01B6">
        <w:rPr>
          <w:rFonts w:ascii="Arial" w:hAnsi="Arial"/>
          <w:noProof w:val="0"/>
          <w:rtl/>
        </w:rPr>
        <w:t xml:space="preserve">התביעה נדחית. </w:t>
      </w:r>
    </w:p>
    <w:p w:rsidR="003F01B6" w:rsidRPr="003F01B6" w:rsidRDefault="00C2707B" w:rsidP="007A2A5F">
      <w:pPr>
        <w:spacing w:after="120" w:line="360" w:lineRule="auto"/>
        <w:ind w:left="567"/>
        <w:jc w:val="both"/>
        <w:rPr>
          <w:rFonts w:ascii="Arial" w:hAnsi="Arial"/>
          <w:noProof w:val="0"/>
          <w:rtl/>
        </w:rPr>
      </w:pPr>
      <w:r>
        <w:rPr>
          <w:rFonts w:ascii="Arial" w:hAnsi="Arial" w:hint="cs"/>
          <w:noProof w:val="0"/>
          <w:rtl/>
        </w:rPr>
        <w:t>לאחר ששקלתי את טיבו של ההליך, היקף העבודה ש</w:t>
      </w:r>
      <w:r w:rsidR="007A2A5F">
        <w:rPr>
          <w:rFonts w:ascii="Arial" w:hAnsi="Arial" w:hint="cs"/>
          <w:noProof w:val="0"/>
          <w:rtl/>
        </w:rPr>
        <w:t xml:space="preserve">הושקעה, לאור התוצאה ועמדת הצדדים ביחס להליך אני מחייבת את התובע בתשלום הוצאות הנתבע 2 בסך כולל של 7,500 ש"ח. </w:t>
      </w:r>
    </w:p>
    <w:p w:rsidR="003F01B6" w:rsidRPr="007A2A5F" w:rsidRDefault="003F01B6" w:rsidP="00D339FC">
      <w:pPr>
        <w:spacing w:after="120" w:line="360" w:lineRule="auto"/>
        <w:jc w:val="both"/>
        <w:rPr>
          <w:rFonts w:ascii="Arial" w:hAnsi="Arial"/>
          <w:b/>
          <w:bCs/>
          <w:noProof w:val="0"/>
          <w:u w:val="single"/>
          <w:rtl/>
        </w:rPr>
      </w:pPr>
      <w:r w:rsidRPr="007A2A5F">
        <w:rPr>
          <w:rFonts w:ascii="Arial" w:hAnsi="Arial"/>
          <w:b/>
          <w:bCs/>
          <w:noProof w:val="0"/>
          <w:u w:val="single"/>
          <w:rtl/>
        </w:rPr>
        <w:t>המזכירות תמציא פסק הדין לצדדים ותסגור התיק.</w:t>
      </w:r>
    </w:p>
    <w:p w:rsidR="003F01B6" w:rsidRPr="003F01B6" w:rsidRDefault="003F01B6" w:rsidP="00D339FC">
      <w:pPr>
        <w:spacing w:after="120" w:line="360" w:lineRule="auto"/>
        <w:jc w:val="both"/>
        <w:rPr>
          <w:rFonts w:ascii="Arial" w:hAnsi="Arial"/>
          <w:noProof w:val="0"/>
          <w:rtl/>
        </w:rPr>
      </w:pPr>
    </w:p>
    <w:p w:rsidR="00694556" w:rsidRDefault="00005C8B" w:rsidP="00D339FC">
      <w:pPr>
        <w:spacing w:after="12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שבט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פברואר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C7BAC" w:rsidP="00633C4F">
      <w:pPr>
        <w:spacing w:line="360" w:lineRule="auto"/>
        <w:ind w:left="3600" w:firstLine="720"/>
      </w:pPr>
      <w:sdt>
        <w:sdtPr>
          <w:rPr>
            <w:rtl/>
          </w:rPr>
          <w:alias w:val="MergeField"/>
          <w:tag w:val="1237"/>
          <w:id w:val="1094139090"/>
        </w:sdtPr>
        <w:sdtEndPr/>
        <w:sdtContent>
          <w:r w:rsidR="00F654EF">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BAC" w:rsidRDefault="00EC7BAC">
      <w:r>
        <w:separator/>
      </w:r>
    </w:p>
  </w:endnote>
  <w:endnote w:type="continuationSeparator" w:id="0">
    <w:p w:rsidR="00EC7BAC" w:rsidRDefault="00E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295" w:rsidRDefault="009742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7429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74295">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295" w:rsidRDefault="009742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BAC" w:rsidRDefault="00EC7BAC">
      <w:r>
        <w:separator/>
      </w:r>
    </w:p>
  </w:footnote>
  <w:footnote w:type="continuationSeparator" w:id="0">
    <w:p w:rsidR="00EC7BAC" w:rsidRDefault="00E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295" w:rsidRDefault="009742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C7BAC" w:rsidP="00F654EF">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48157-02-21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654EF">
                <w:rPr>
                  <w:rFonts w:hint="cs"/>
                  <w:b/>
                  <w:bCs/>
                  <w:noProof w:val="0"/>
                  <w:sz w:val="26"/>
                  <w:szCs w:val="26"/>
                  <w:rtl/>
                </w:rPr>
                <w:t>פלוני</w:t>
              </w:r>
              <w:r w:rsidR="00E44DDF">
                <w:rPr>
                  <w:b/>
                  <w:bCs/>
                  <w:noProof w:val="0"/>
                  <w:sz w:val="26"/>
                  <w:szCs w:val="26"/>
                  <w:rtl/>
                </w:rPr>
                <w:t xml:space="preserve"> נ' </w:t>
              </w:r>
              <w:r w:rsidR="00F654EF">
                <w:rPr>
                  <w:rFonts w:hint="cs"/>
                  <w:b/>
                  <w:bCs/>
                  <w:noProof w:val="0"/>
                  <w:sz w:val="26"/>
                  <w:szCs w:val="26"/>
                  <w:rtl/>
                </w:rPr>
                <w:t xml:space="preserve">אלמוני </w:t>
              </w:r>
              <w:r w:rsidR="00E44DDF">
                <w:rPr>
                  <w:b/>
                  <w:bCs/>
                  <w:noProof w:val="0"/>
                  <w:sz w:val="26"/>
                  <w:szCs w:val="26"/>
                  <w:rtl/>
                </w:rPr>
                <w:t>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rFonts w:hint="cs"/>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295" w:rsidRDefault="0097429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D41073"/>
    <w:multiLevelType w:val="hybridMultilevel"/>
    <w:tmpl w:val="F1BC75AA"/>
    <w:lvl w:ilvl="0" w:tplc="1A384A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C701712"/>
    <w:multiLevelType w:val="hybridMultilevel"/>
    <w:tmpl w:val="00981BEA"/>
    <w:lvl w:ilvl="0" w:tplc="07E66666">
      <w:start w:val="20"/>
      <w:numFmt w:val="decimal"/>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6F92"/>
    <w:rsid w:val="001277D7"/>
    <w:rsid w:val="00132017"/>
    <w:rsid w:val="0014234E"/>
    <w:rsid w:val="00145A87"/>
    <w:rsid w:val="00161462"/>
    <w:rsid w:val="00170938"/>
    <w:rsid w:val="00180C4E"/>
    <w:rsid w:val="001C4003"/>
    <w:rsid w:val="001F5474"/>
    <w:rsid w:val="002352F7"/>
    <w:rsid w:val="0027277D"/>
    <w:rsid w:val="002E31CA"/>
    <w:rsid w:val="002F44DE"/>
    <w:rsid w:val="003027E4"/>
    <w:rsid w:val="00366958"/>
    <w:rsid w:val="00381D3A"/>
    <w:rsid w:val="003823DA"/>
    <w:rsid w:val="003C58FA"/>
    <w:rsid w:val="003F01B6"/>
    <w:rsid w:val="00405B65"/>
    <w:rsid w:val="0043595F"/>
    <w:rsid w:val="0047645A"/>
    <w:rsid w:val="00485A4C"/>
    <w:rsid w:val="00490341"/>
    <w:rsid w:val="004B0B1D"/>
    <w:rsid w:val="004B406A"/>
    <w:rsid w:val="004D2824"/>
    <w:rsid w:val="004D49A3"/>
    <w:rsid w:val="004D50AC"/>
    <w:rsid w:val="004E6E3C"/>
    <w:rsid w:val="00510DA2"/>
    <w:rsid w:val="005124F1"/>
    <w:rsid w:val="00517B35"/>
    <w:rsid w:val="00530BAD"/>
    <w:rsid w:val="00541598"/>
    <w:rsid w:val="00547DB7"/>
    <w:rsid w:val="00556BC5"/>
    <w:rsid w:val="00567324"/>
    <w:rsid w:val="005B0F49"/>
    <w:rsid w:val="005C7EC6"/>
    <w:rsid w:val="005D4BDB"/>
    <w:rsid w:val="005F7F57"/>
    <w:rsid w:val="00622BAA"/>
    <w:rsid w:val="00625C89"/>
    <w:rsid w:val="00633C4F"/>
    <w:rsid w:val="00671BD5"/>
    <w:rsid w:val="0067339D"/>
    <w:rsid w:val="006805C1"/>
    <w:rsid w:val="006816EC"/>
    <w:rsid w:val="00694556"/>
    <w:rsid w:val="006E1A53"/>
    <w:rsid w:val="006E1BD9"/>
    <w:rsid w:val="007056AA"/>
    <w:rsid w:val="007254C2"/>
    <w:rsid w:val="00744F41"/>
    <w:rsid w:val="007A24FE"/>
    <w:rsid w:val="007A2A5F"/>
    <w:rsid w:val="007A35AA"/>
    <w:rsid w:val="007F1048"/>
    <w:rsid w:val="00820005"/>
    <w:rsid w:val="00846D27"/>
    <w:rsid w:val="008610A7"/>
    <w:rsid w:val="008B3C2A"/>
    <w:rsid w:val="008E1332"/>
    <w:rsid w:val="00903896"/>
    <w:rsid w:val="00927813"/>
    <w:rsid w:val="00944D13"/>
    <w:rsid w:val="00952DAA"/>
    <w:rsid w:val="00957C90"/>
    <w:rsid w:val="00974295"/>
    <w:rsid w:val="009B70F6"/>
    <w:rsid w:val="009C358E"/>
    <w:rsid w:val="009E0263"/>
    <w:rsid w:val="00A267CF"/>
    <w:rsid w:val="00A35A48"/>
    <w:rsid w:val="00A43458"/>
    <w:rsid w:val="00AA7B3E"/>
    <w:rsid w:val="00AC4E19"/>
    <w:rsid w:val="00AF1ED6"/>
    <w:rsid w:val="00AF595C"/>
    <w:rsid w:val="00B32C61"/>
    <w:rsid w:val="00B368FE"/>
    <w:rsid w:val="00B80CBD"/>
    <w:rsid w:val="00B859C7"/>
    <w:rsid w:val="00BC3369"/>
    <w:rsid w:val="00BD18B5"/>
    <w:rsid w:val="00BF77EE"/>
    <w:rsid w:val="00C2707B"/>
    <w:rsid w:val="00C32E0F"/>
    <w:rsid w:val="00C42BF9"/>
    <w:rsid w:val="00C45353"/>
    <w:rsid w:val="00C6170F"/>
    <w:rsid w:val="00C83E56"/>
    <w:rsid w:val="00C95EFA"/>
    <w:rsid w:val="00CC304D"/>
    <w:rsid w:val="00CC63CE"/>
    <w:rsid w:val="00CC73D5"/>
    <w:rsid w:val="00D319B3"/>
    <w:rsid w:val="00D339FC"/>
    <w:rsid w:val="00D36A71"/>
    <w:rsid w:val="00D53924"/>
    <w:rsid w:val="00D60849"/>
    <w:rsid w:val="00D96D8C"/>
    <w:rsid w:val="00DA755B"/>
    <w:rsid w:val="00DD337E"/>
    <w:rsid w:val="00E00B6F"/>
    <w:rsid w:val="00E44DDF"/>
    <w:rsid w:val="00E54642"/>
    <w:rsid w:val="00E73070"/>
    <w:rsid w:val="00E96BE4"/>
    <w:rsid w:val="00E97908"/>
    <w:rsid w:val="00EA1966"/>
    <w:rsid w:val="00EC7BAC"/>
    <w:rsid w:val="00EE611B"/>
    <w:rsid w:val="00EF3ED0"/>
    <w:rsid w:val="00F17E56"/>
    <w:rsid w:val="00F654EF"/>
    <w:rsid w:val="00FD230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3F01B6"/>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4D28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807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229F3813EB441B6993138861AB1AB97"/>
        <w:category>
          <w:name w:val="כללי"/>
          <w:gallery w:val="placeholder"/>
        </w:category>
        <w:types>
          <w:type w:val="bbPlcHdr"/>
        </w:types>
        <w:behaviors>
          <w:behavior w:val="content"/>
        </w:behaviors>
        <w:guid w:val="{E4A8737C-D118-4DA7-9F9B-C641700DCF75}"/>
      </w:docPartPr>
      <w:docPartBody>
        <w:p w:rsidR="00BF79F1" w:rsidRDefault="00F55BD0" w:rsidP="00F55BD0">
          <w:pPr>
            <w:pStyle w:val="D229F3813EB441B6993138861AB1AB97"/>
          </w:pPr>
          <w:r>
            <w:rPr>
              <w:b/>
              <w:bCs/>
              <w:sz w:val="28"/>
              <w:rtl/>
            </w:rPr>
            <w:t>סוג זיהוי צד א'</w:t>
          </w:r>
        </w:p>
      </w:docPartBody>
    </w:docPart>
    <w:docPart>
      <w:docPartPr>
        <w:name w:val="E1E5205F41BF4DA0ABED4F1763326868"/>
        <w:category>
          <w:name w:val="כללי"/>
          <w:gallery w:val="placeholder"/>
        </w:category>
        <w:types>
          <w:type w:val="bbPlcHdr"/>
        </w:types>
        <w:behaviors>
          <w:behavior w:val="content"/>
        </w:behaviors>
        <w:guid w:val="{18220B07-AD4B-497A-85AE-750AB3CB4B9E}"/>
      </w:docPartPr>
      <w:docPartBody>
        <w:p w:rsidR="00BF79F1" w:rsidRDefault="00F55BD0" w:rsidP="00F55BD0">
          <w:pPr>
            <w:pStyle w:val="E1E5205F41BF4DA0ABED4F1763326868"/>
          </w:pPr>
          <w:r>
            <w:rPr>
              <w:b/>
              <w:bCs/>
              <w:sz w:val="28"/>
              <w:rtl/>
            </w:rPr>
            <w:t>סוג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BF79F1"/>
    <w:rsid w:val="00C66239"/>
    <w:rsid w:val="00CC5512"/>
    <w:rsid w:val="00E457D6"/>
    <w:rsid w:val="00EA7F31"/>
    <w:rsid w:val="00F55B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5BD0"/>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229F3813EB441B6993138861AB1AB97">
    <w:name w:val="D229F3813EB441B6993138861AB1AB97"/>
    <w:rsid w:val="00F55BD0"/>
    <w:pPr>
      <w:bidi/>
    </w:pPr>
  </w:style>
  <w:style w:type="paragraph" w:customStyle="1" w:styleId="75E0C013E3F744A0A64F4B60044F89AB">
    <w:name w:val="75E0C013E3F744A0A64F4B60044F89AB"/>
    <w:rsid w:val="00F55BD0"/>
    <w:pPr>
      <w:bidi/>
    </w:pPr>
  </w:style>
  <w:style w:type="paragraph" w:customStyle="1" w:styleId="E1E5205F41BF4DA0ABED4F1763326868">
    <w:name w:val="E1E5205F41BF4DA0ABED4F1763326868"/>
    <w:rsid w:val="00F55BD0"/>
    <w:pPr>
      <w:bidi/>
    </w:pPr>
  </w:style>
  <w:style w:type="paragraph" w:customStyle="1" w:styleId="0471485D894A48B4B73C9A0931D1983D">
    <w:name w:val="0471485D894A48B4B73C9A0931D1983D"/>
    <w:rsid w:val="00F55BD0"/>
    <w:pPr>
      <w:bidi/>
    </w:pPr>
  </w:style>
  <w:style w:type="paragraph" w:customStyle="1" w:styleId="FD48389AFD33432A8B4DF7585ED43A4D">
    <w:name w:val="FD48389AFD33432A8B4DF7585ED43A4D"/>
    <w:rsid w:val="00F55BD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4596</Words>
  <Characters>22981</Characters>
  <Application>Microsoft Office Word</Application>
  <DocSecurity>0</DocSecurity>
  <Lines>191</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2023-06-06T06:33:00Z</dcterms:created>
  <dcterms:modified xsi:type="dcterms:W3CDTF">2023-06-06T06:33:00Z</dcterms:modified>
</cp:coreProperties>
</file>